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366" w:rsidP="00003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NWPTRD008 Process standard trade waste approvals</w:t>
      </w:r>
      <w:r>
        <w:fldChar w:fldCharType="end"/>
      </w:r>
    </w:p>
    <w:p w:rsidR="00003366" w:rsidP="00003366">
      <w:pPr>
        <w:pStyle w:val="Version"/>
        <w:sectPr w:rsidSect="00FC0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8BF" w:rsidP="00FC08BF">
      <w:pPr>
        <w:pStyle w:val="SuperHeading"/>
      </w:pPr>
      <w:r w:rsidRPr="00FC08BF">
        <w:t>NWPTRD008 Process standard trade waste approvals</w:t>
      </w:r>
    </w:p>
    <w:p w:rsidR="00000000" w:rsidRPr="00FC08BF" w:rsidP="00FC08BF">
      <w:pPr>
        <w:pStyle w:val="Heading1"/>
      </w:pPr>
      <w:bookmarkStart w:id="1" w:name="O_1122696"/>
      <w:bookmarkEnd w:id="1"/>
      <w:r w:rsidRPr="00FC08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t>Release 1. This is the first release of this unit of competency in the NWP National Water Training Package.</w:t>
            </w:r>
          </w:p>
        </w:tc>
      </w:tr>
    </w:tbl>
    <w:p w:rsidR="00003366" w:rsidP="00FC08BF">
      <w:pPr>
        <w:pStyle w:val="NoPaddingFontSize1"/>
      </w:pPr>
    </w:p>
    <w:p w:rsidR="00003366" w:rsidP="00FC08BF">
      <w:pPr>
        <w:pStyle w:val="NoPaddingFontSize1"/>
      </w:pPr>
    </w:p>
    <w:p w:rsidR="00000000" w:rsidRPr="00FC08BF" w:rsidP="00FC08BF">
      <w:pPr>
        <w:pStyle w:val="Heading1"/>
      </w:pPr>
      <w:bookmarkStart w:id="2" w:name="O_1122697"/>
      <w:bookmarkEnd w:id="2"/>
      <w:r w:rsidRPr="00FC08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t>This unit involves the skills and knowledge required to process standard trade waste</w:t>
            </w:r>
            <w:r w:rsidRPr="00FC08BF">
              <w:t xml:space="preserve"> approvals.</w:t>
            </w:r>
          </w:p>
          <w:p w:rsidR="00000000" w:rsidRPr="00FC08BF" w:rsidP="00FC08BF">
            <w:pPr>
              <w:pStyle w:val="BodyText"/>
            </w:pPr>
            <w:r w:rsidRPr="00FC08BF">
              <w:t>It includes assessing and processing applications for standard trade waste discharges from retail commercial and light industrial organisations; monitoring compliance with the trade waste discharge approval issued; and renewing, amending, suspe</w:t>
            </w:r>
            <w:r w:rsidRPr="00FC08BF">
              <w:t>nding or revoking trade waste approvals.</w:t>
            </w:r>
          </w:p>
          <w:p w:rsidR="00000000" w:rsidRPr="00FC08BF" w:rsidP="00FC08BF">
            <w:pPr>
              <w:pStyle w:val="BodyText"/>
            </w:pPr>
            <w:r w:rsidRPr="00FC08BF">
              <w:t>This unit applies to those working as trade waste officers or inspectors with a specific responsibility for managing applications and approvals for standard liquid trade waste discharges to wastewater collection sys</w:t>
            </w:r>
            <w:r w:rsidRPr="00FC08BF">
              <w:t>tems from small commercial and light industrial organisations. Those undertaking this unit would work autonomously, usually with supervisory responsibilities, while performing complex tasks in a range of contexts.</w:t>
            </w:r>
          </w:p>
          <w:p w:rsidR="00000000" w:rsidRPr="00FC08BF" w:rsidP="00FC08BF">
            <w:pPr>
              <w:pStyle w:val="BodyText"/>
            </w:pPr>
            <w:r w:rsidRPr="00FC08BF">
              <w:t>No licensing, legislative or certification</w:t>
            </w:r>
            <w:r w:rsidRPr="00FC08BF">
              <w:t xml:space="preserve"> requirements apply to this unit at the time of publication.</w:t>
            </w:r>
          </w:p>
        </w:tc>
      </w:tr>
    </w:tbl>
    <w:p w:rsidR="00003366" w:rsidP="00FC08BF">
      <w:pPr>
        <w:pStyle w:val="NoPaddingFontSize1"/>
      </w:pPr>
    </w:p>
    <w:p w:rsidR="00003366" w:rsidP="00FC08BF">
      <w:pPr>
        <w:pStyle w:val="NoPaddingFontSize1"/>
      </w:pPr>
    </w:p>
    <w:p w:rsidR="00000000" w:rsidRPr="00FC08BF" w:rsidP="00FC08BF">
      <w:pPr>
        <w:pStyle w:val="Heading1"/>
      </w:pPr>
      <w:bookmarkStart w:id="3" w:name="O_1122698"/>
      <w:bookmarkEnd w:id="3"/>
      <w:r w:rsidRPr="00FC08B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t>Not applicable.</w:t>
            </w:r>
          </w:p>
        </w:tc>
      </w:tr>
    </w:tbl>
    <w:p w:rsidR="00003366" w:rsidP="00FC08BF">
      <w:pPr>
        <w:pStyle w:val="NoPaddingFontSize1"/>
      </w:pPr>
    </w:p>
    <w:p w:rsidR="00003366" w:rsidP="00FC08BF">
      <w:pPr>
        <w:pStyle w:val="NoPaddingFontSize1"/>
      </w:pPr>
    </w:p>
    <w:p w:rsidR="00000000" w:rsidRPr="00FC08BF" w:rsidP="00FC08BF">
      <w:pPr>
        <w:pStyle w:val="Heading1"/>
      </w:pPr>
      <w:bookmarkStart w:id="4" w:name="O_1122699"/>
      <w:bookmarkEnd w:id="4"/>
      <w:r w:rsidRPr="00FC08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t>Trade waste</w:t>
            </w:r>
          </w:p>
        </w:tc>
      </w:tr>
    </w:tbl>
    <w:p w:rsidR="00003366" w:rsidP="00FC08BF">
      <w:pPr>
        <w:pStyle w:val="NoPaddingFontSize1"/>
      </w:pPr>
    </w:p>
    <w:p w:rsidR="00003366" w:rsidP="00FC08BF">
      <w:pPr>
        <w:pStyle w:val="NoPaddingFontSize1"/>
      </w:pPr>
    </w:p>
    <w:p w:rsidR="00000000" w:rsidRPr="00FC08BF" w:rsidP="00FC08BF">
      <w:pPr>
        <w:pStyle w:val="Heading1"/>
      </w:pPr>
      <w:bookmarkStart w:id="5" w:name="O_1122700"/>
      <w:bookmarkEnd w:id="5"/>
      <w:r w:rsidRPr="00FC08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t>Not applicable.</w:t>
            </w:r>
          </w:p>
        </w:tc>
      </w:tr>
    </w:tbl>
    <w:p w:rsidR="00003366" w:rsidP="00FC08BF">
      <w:pPr>
        <w:pStyle w:val="NoPaddingFontSize1"/>
      </w:pPr>
    </w:p>
    <w:p w:rsidR="00003366" w:rsidP="00FC08BF">
      <w:pPr>
        <w:pStyle w:val="NoPaddingFontSize1"/>
      </w:pPr>
    </w:p>
    <w:p w:rsidR="00000000" w:rsidRPr="00FC08BF" w:rsidP="00FC08BF">
      <w:pPr>
        <w:pStyle w:val="Heading1"/>
      </w:pPr>
      <w:bookmarkStart w:id="6" w:name="O_1122701"/>
      <w:bookmarkEnd w:id="6"/>
      <w:r w:rsidRPr="00FC08B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rPr>
                <w:rStyle w:val="SpecialBold"/>
              </w:rPr>
              <w:t>PERFORMANCE CRITERIA</w:t>
            </w:r>
          </w:p>
        </w:tc>
      </w:tr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t>Performance criteria describe the performance needed to demonstrate achievement of the element.</w:t>
            </w:r>
          </w:p>
        </w:tc>
      </w:tr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rPr>
                <w:rStyle w:val="SpecialBold"/>
              </w:rPr>
              <w:t xml:space="preserve">Prepare for trade waste </w:t>
            </w:r>
            <w:r w:rsidRPr="00FC08BF">
              <w:rPr>
                <w:rStyle w:val="SpecialBold"/>
              </w:rPr>
              <w:t>discharges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t xml:space="preserve">Identify significant pollutants generated from different </w:t>
            </w:r>
            <w:r w:rsidRPr="00FC08BF">
              <w:t>business types</w:t>
            </w:r>
          </w:p>
        </w:tc>
      </w:tr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t>Identify and apply trade waste management processes and workplace procedures</w:t>
            </w:r>
          </w:p>
        </w:tc>
      </w:tr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t>Interpret and apply legislation and policies relating to trade waste approvals</w:t>
            </w:r>
          </w:p>
        </w:tc>
      </w:tr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t>Advise customers who have trade waste application queries according to workplace procedures</w:t>
            </w:r>
          </w:p>
        </w:tc>
      </w:tr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rPr>
                <w:rStyle w:val="SpecialBold"/>
              </w:rPr>
              <w:t>Assess trade waste applications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t>Assess the application is properly made according to workplace procedures</w:t>
            </w:r>
          </w:p>
        </w:tc>
      </w:tr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t>Assess standard trade waste applications aga</w:t>
            </w:r>
            <w:r w:rsidRPr="00FC08BF">
              <w:t>inst trade waste policies and plans</w:t>
            </w:r>
          </w:p>
        </w:tc>
      </w:tr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t>Establish relevant approval conditions according to trade waste policies and plans</w:t>
            </w:r>
          </w:p>
        </w:tc>
      </w:tr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t>Hazards are identified, risks assessed and control measures implemented in accordance with workplace procedures</w:t>
            </w:r>
          </w:p>
        </w:tc>
      </w:tr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t>Determine monitoring activities and schedules and discuss with the applicant</w:t>
            </w:r>
          </w:p>
        </w:tc>
      </w:tr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rPr>
                <w:rStyle w:val="SpecialBold"/>
              </w:rPr>
              <w:t>Implement trade waste approvals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t>Calculate relevant charges and review with applicant according to charging policies and formulae</w:t>
            </w:r>
          </w:p>
        </w:tc>
      </w:tr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t>Communicate the approval conditions to the customer according to workplace procedures</w:t>
            </w:r>
          </w:p>
        </w:tc>
      </w:tr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BF">
            <w:pPr>
              <w:pStyle w:val="BodyText"/>
              <w:rPr>
                <w:lang w:val="en-NZ"/>
              </w:rPr>
            </w:pPr>
            <w:r w:rsidRPr="00FC08B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t>Create and maintain customer database records according to relevant legislation and guidelines</w:t>
            </w:r>
          </w:p>
        </w:tc>
      </w:tr>
    </w:tbl>
    <w:p w:rsidR="00003366" w:rsidP="00FC08BF">
      <w:pPr>
        <w:pStyle w:val="NoPaddingFontSize1"/>
      </w:pPr>
    </w:p>
    <w:p w:rsidR="00003366" w:rsidP="00FC08BF">
      <w:pPr>
        <w:pStyle w:val="NoPaddingFontSize1"/>
      </w:pPr>
    </w:p>
    <w:p w:rsidR="00000000" w:rsidRPr="00FC08BF" w:rsidP="00FC08BF">
      <w:pPr>
        <w:pStyle w:val="Heading1"/>
      </w:pPr>
      <w:bookmarkStart w:id="7" w:name="O_1122702"/>
      <w:bookmarkEnd w:id="7"/>
      <w:r w:rsidRPr="00FC08B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t>Foundation skills essential to performance are explicit in the performance criteria of this unit of competency.</w:t>
            </w:r>
          </w:p>
        </w:tc>
      </w:tr>
    </w:tbl>
    <w:p w:rsidR="00003366" w:rsidP="00FC08BF">
      <w:pPr>
        <w:pStyle w:val="NoPaddingFontSize1"/>
      </w:pPr>
    </w:p>
    <w:p w:rsidR="00003366" w:rsidP="00FC08BF">
      <w:pPr>
        <w:pStyle w:val="NoPaddingFontSize1"/>
      </w:pPr>
    </w:p>
    <w:p w:rsidR="00000000" w:rsidRPr="00FC08BF" w:rsidP="00FC08BF">
      <w:pPr>
        <w:pStyle w:val="Heading1"/>
      </w:pPr>
      <w:bookmarkStart w:id="8" w:name="O_1122703"/>
      <w:bookmarkEnd w:id="8"/>
      <w:r w:rsidRPr="00FC08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t>Range is restricted</w:t>
            </w:r>
            <w:r w:rsidRPr="00FC08BF">
              <w:t xml:space="preserve"> to essential operating conditions and any other variables essential to the work environment.</w:t>
            </w:r>
          </w:p>
          <w:p w:rsidR="00000000" w:rsidRPr="00FC08BF" w:rsidP="00FC08BF">
            <w:pPr>
              <w:pStyle w:val="BodyText"/>
            </w:pPr>
            <w:r w:rsidRPr="00FC08BF">
              <w:t>Non-essential conditions may be found in the Companion Volume Implementation Guide.</w:t>
            </w:r>
          </w:p>
        </w:tc>
      </w:tr>
    </w:tbl>
    <w:p w:rsidR="00003366" w:rsidP="00FC08BF">
      <w:pPr>
        <w:pStyle w:val="NoPaddingFontSize1"/>
      </w:pPr>
    </w:p>
    <w:p w:rsidR="00003366" w:rsidP="00FC08BF">
      <w:pPr>
        <w:pStyle w:val="NoPaddingFontSize1"/>
      </w:pPr>
    </w:p>
    <w:p w:rsidR="00000000" w:rsidRPr="00FC08BF" w:rsidP="00FC08BF">
      <w:pPr>
        <w:pStyle w:val="Heading1"/>
      </w:pPr>
      <w:bookmarkStart w:id="9" w:name="O_1122704"/>
      <w:bookmarkEnd w:id="9"/>
      <w:r w:rsidRPr="00FC08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8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BF" w:rsidP="00FC08BF">
            <w:pPr>
              <w:pStyle w:val="BodyText"/>
            </w:pPr>
            <w:r w:rsidRPr="00FC08BF">
              <w:t>This unit replaces and is equiv</w:t>
            </w:r>
            <w:r w:rsidRPr="00FC08BF">
              <w:t>alent to NWPTRD001 Evaluate, implement and monitor standard low risk trade waste discharge approvals.</w:t>
            </w:r>
          </w:p>
        </w:tc>
      </w:tr>
    </w:tbl>
    <w:p w:rsidR="00003366" w:rsidP="00FC08BF">
      <w:pPr>
        <w:pStyle w:val="NoPaddingFontSize1"/>
      </w:pPr>
    </w:p>
    <w:p w:rsidR="00003366" w:rsidP="00FC08BF">
      <w:pPr>
        <w:pStyle w:val="NoPaddingFontSize1"/>
      </w:pPr>
    </w:p>
    <w:p w:rsidR="00000000" w:rsidRPr="00FC08BF" w:rsidP="00FC08BF">
      <w:pPr>
        <w:pStyle w:val="Heading1"/>
      </w:pPr>
      <w:bookmarkStart w:id="10" w:name="O_1122711"/>
      <w:bookmarkEnd w:id="10"/>
      <w:r w:rsidRPr="00FC08BF">
        <w:t>Links</w:t>
      </w:r>
    </w:p>
    <w:p w:rsidR="00000000" w:rsidRPr="00FC08BF" w:rsidP="00003366">
      <w:pPr>
        <w:pStyle w:val="BodyText"/>
      </w:pPr>
      <w:r w:rsidRPr="00FC08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B0A0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C08BF" w:rsidP="00FC08BF"/>
    <w:sectPr w:rsidSect="00FC08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BF" w:rsidRPr="00003366" w:rsidP="00003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66" w:rsidP="00FC0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366" w:rsidP="00FC0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3366" w:rsidP="00FC0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8BF" w:rsidRPr="00003366" w:rsidP="000033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66" w:rsidRPr="002D2AF8" w:rsidP="00FC0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NWPTRD008 Process standard trade waste approvals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03366" w:rsidP="00FC0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8BF"/>
  </w:style>
  <w:style w:type="character" w:customStyle="1" w:styleId="Heading1Char">
    <w:name w:val="Heading 1 Char"/>
    <w:basedOn w:val="DefaultParagraphFont"/>
    <w:link w:val="Heading1"/>
    <w:rsid w:val="00FC0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8B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08BF"/>
    <w:rPr>
      <w:b/>
      <w:spacing w:val="0"/>
    </w:rPr>
  </w:style>
  <w:style w:type="paragraph" w:customStyle="1" w:styleId="SuperHeading">
    <w:name w:val="SuperHeading"/>
    <w:basedOn w:val="Normal"/>
    <w:rsid w:val="00FC0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0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8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08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0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08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0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8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8BF"/>
    <w:rPr>
      <w:i/>
    </w:rPr>
  </w:style>
  <w:style w:type="paragraph" w:styleId="Caption">
    <w:name w:val="caption"/>
    <w:basedOn w:val="BodyText"/>
    <w:next w:val="Normal"/>
    <w:qFormat/>
    <w:rsid w:val="00FC0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8BF"/>
  </w:style>
  <w:style w:type="paragraph" w:styleId="TableofFigures">
    <w:name w:val="table of figures"/>
    <w:basedOn w:val="Normal"/>
    <w:next w:val="Normal"/>
    <w:semiHidden/>
    <w:rsid w:val="00FC0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8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08BF"/>
    <w:rPr>
      <w:rFonts w:ascii="Wingdings" w:hAnsi="Wingdings"/>
    </w:rPr>
  </w:style>
  <w:style w:type="paragraph" w:customStyle="1" w:styleId="TableHeading">
    <w:name w:val="Table Heading"/>
    <w:basedOn w:val="HeadingBase"/>
    <w:rsid w:val="00FC0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8BF"/>
    <w:rPr>
      <w:color w:val="0033CC"/>
      <w:u w:val="none"/>
    </w:rPr>
  </w:style>
  <w:style w:type="paragraph" w:customStyle="1" w:styleId="BodyTextRight">
    <w:name w:val="Body Text Right"/>
    <w:basedOn w:val="BodyText"/>
    <w:rsid w:val="00FC0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8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8BF"/>
    <w:rPr>
      <w:sz w:val="32"/>
    </w:rPr>
  </w:style>
  <w:style w:type="paragraph" w:customStyle="1" w:styleId="HeadingProcedure">
    <w:name w:val="Heading Procedure"/>
    <w:basedOn w:val="HeadingBase"/>
    <w:next w:val="Normal"/>
    <w:rsid w:val="00FC0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8BF"/>
    <w:pPr>
      <w:spacing w:before="60" w:after="60"/>
    </w:pPr>
  </w:style>
  <w:style w:type="paragraph" w:styleId="ListContinue">
    <w:name w:val="List Continue"/>
    <w:basedOn w:val="List"/>
    <w:rsid w:val="00FC08BF"/>
    <w:pPr>
      <w:ind w:firstLine="0"/>
    </w:pPr>
  </w:style>
  <w:style w:type="paragraph" w:customStyle="1" w:styleId="ListNote">
    <w:name w:val="List Note"/>
    <w:basedOn w:val="List"/>
    <w:rsid w:val="00FC0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8BF"/>
    <w:rPr>
      <w:rFonts w:ascii="Courier New" w:hAnsi="Courier New"/>
    </w:rPr>
  </w:style>
  <w:style w:type="paragraph" w:customStyle="1" w:styleId="NoteBullet">
    <w:name w:val="Note Bullet"/>
    <w:basedOn w:val="Note"/>
    <w:rsid w:val="00FC0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8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0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8BF"/>
    <w:rPr>
      <w:b/>
      <w:smallCaps/>
    </w:rPr>
  </w:style>
  <w:style w:type="paragraph" w:customStyle="1" w:styleId="TableListNumber">
    <w:name w:val="Table List Number"/>
    <w:basedOn w:val="ListNumber"/>
    <w:rsid w:val="00FC0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8BF"/>
    <w:pPr>
      <w:numPr>
        <w:numId w:val="7"/>
      </w:numPr>
    </w:pPr>
  </w:style>
  <w:style w:type="paragraph" w:customStyle="1" w:styleId="ListAlpha2">
    <w:name w:val="List Alpha 2"/>
    <w:basedOn w:val="List2"/>
    <w:rsid w:val="00FC08BF"/>
    <w:pPr>
      <w:numPr>
        <w:numId w:val="6"/>
      </w:numPr>
    </w:pPr>
  </w:style>
  <w:style w:type="paragraph" w:styleId="List2">
    <w:name w:val="List 2"/>
    <w:basedOn w:val="BodyText"/>
    <w:rsid w:val="00FC0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8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8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08BF"/>
    <w:pPr>
      <w:numPr>
        <w:numId w:val="2"/>
      </w:numPr>
    </w:pPr>
  </w:style>
  <w:style w:type="paragraph" w:styleId="ListContinue2">
    <w:name w:val="List Continue 2"/>
    <w:basedOn w:val="List2"/>
    <w:rsid w:val="00FC08BF"/>
    <w:pPr>
      <w:ind w:firstLine="0"/>
    </w:pPr>
  </w:style>
  <w:style w:type="paragraph" w:styleId="ListContinue3">
    <w:name w:val="List Continue 3"/>
    <w:basedOn w:val="List3"/>
    <w:rsid w:val="00FC08BF"/>
    <w:pPr>
      <w:ind w:left="1021" w:firstLine="0"/>
    </w:pPr>
  </w:style>
  <w:style w:type="paragraph" w:styleId="ListContinue4">
    <w:name w:val="List Continue 4"/>
    <w:basedOn w:val="List4"/>
    <w:rsid w:val="00FC08BF"/>
    <w:pPr>
      <w:ind w:firstLine="0"/>
    </w:pPr>
  </w:style>
  <w:style w:type="paragraph" w:styleId="ListContinue5">
    <w:name w:val="List Continue 5"/>
    <w:basedOn w:val="List5"/>
    <w:rsid w:val="00FC08BF"/>
    <w:pPr>
      <w:ind w:firstLine="0"/>
    </w:pPr>
  </w:style>
  <w:style w:type="paragraph" w:styleId="ListNumber3">
    <w:name w:val="List Number 3"/>
    <w:basedOn w:val="List3"/>
    <w:rsid w:val="00FC08BF"/>
    <w:pPr>
      <w:numPr>
        <w:numId w:val="3"/>
      </w:numPr>
    </w:pPr>
  </w:style>
  <w:style w:type="paragraph" w:styleId="ListNumber4">
    <w:name w:val="List Number 4"/>
    <w:basedOn w:val="List4"/>
    <w:rsid w:val="00FC08BF"/>
    <w:pPr>
      <w:numPr>
        <w:numId w:val="4"/>
      </w:numPr>
    </w:pPr>
  </w:style>
  <w:style w:type="paragraph" w:styleId="ListNumber5">
    <w:name w:val="List Number 5"/>
    <w:basedOn w:val="List5"/>
    <w:rsid w:val="00FC08BF"/>
    <w:pPr>
      <w:numPr>
        <w:numId w:val="5"/>
      </w:numPr>
    </w:pPr>
  </w:style>
  <w:style w:type="paragraph" w:styleId="BlockText">
    <w:name w:val="Block Text"/>
    <w:basedOn w:val="Normal"/>
    <w:rsid w:val="00FC0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8BF"/>
    <w:rPr>
      <w:sz w:val="16"/>
      <w:vertAlign w:val="superscript"/>
    </w:rPr>
  </w:style>
  <w:style w:type="character" w:customStyle="1" w:styleId="Symbols">
    <w:name w:val="Symbols"/>
    <w:basedOn w:val="DefaultParagraphFont"/>
    <w:rsid w:val="00FC08BF"/>
    <w:rPr>
      <w:rFonts w:ascii="Symbol" w:hAnsi="Symbol"/>
    </w:rPr>
  </w:style>
  <w:style w:type="character" w:customStyle="1" w:styleId="MenuOptions">
    <w:name w:val="Menu Options"/>
    <w:basedOn w:val="DefaultParagraphFont"/>
    <w:rsid w:val="00FC0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8BF"/>
    <w:rPr>
      <w:b/>
    </w:rPr>
  </w:style>
  <w:style w:type="character" w:customStyle="1" w:styleId="Underlined">
    <w:name w:val="Underlined"/>
    <w:basedOn w:val="DefaultParagraphFont"/>
    <w:rsid w:val="00FC08BF"/>
    <w:rPr>
      <w:u w:val="single"/>
    </w:rPr>
  </w:style>
  <w:style w:type="paragraph" w:customStyle="1" w:styleId="TableBodyTextRight">
    <w:name w:val="Table Body Text Right"/>
    <w:basedOn w:val="TableBodyText"/>
    <w:rsid w:val="00FC0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8BF"/>
    <w:rPr>
      <w:sz w:val="18"/>
    </w:rPr>
  </w:style>
  <w:style w:type="paragraph" w:customStyle="1" w:styleId="BodySmallRight">
    <w:name w:val="Body Small Right"/>
    <w:basedOn w:val="BodyTextRight"/>
    <w:rsid w:val="00FC08BF"/>
    <w:rPr>
      <w:sz w:val="18"/>
      <w:szCs w:val="18"/>
    </w:rPr>
  </w:style>
  <w:style w:type="paragraph" w:customStyle="1" w:styleId="MarginEdition">
    <w:name w:val="Margin Edition"/>
    <w:basedOn w:val="MarginNote"/>
    <w:rsid w:val="00FC0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8BF"/>
    <w:rPr>
      <w:sz w:val="2"/>
      <w:szCs w:val="2"/>
    </w:rPr>
  </w:style>
  <w:style w:type="character" w:customStyle="1" w:styleId="Small">
    <w:name w:val="Small"/>
    <w:basedOn w:val="DefaultParagraphFont"/>
    <w:rsid w:val="00FC08BF"/>
    <w:rPr>
      <w:sz w:val="16"/>
    </w:rPr>
  </w:style>
  <w:style w:type="paragraph" w:customStyle="1" w:styleId="WideTable">
    <w:name w:val="Wide Table"/>
    <w:basedOn w:val="Normal"/>
    <w:rsid w:val="00FC0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8BF"/>
  </w:style>
  <w:style w:type="paragraph" w:styleId="Quote">
    <w:name w:val="Quote"/>
    <w:basedOn w:val="Heading1"/>
    <w:link w:val="QuoteChar"/>
    <w:qFormat/>
    <w:rsid w:val="00FC0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8BF"/>
    <w:pPr>
      <w:pageBreakBefore/>
    </w:pPr>
  </w:style>
  <w:style w:type="paragraph" w:customStyle="1" w:styleId="Border">
    <w:name w:val="Border"/>
    <w:basedOn w:val="Normal"/>
    <w:qFormat/>
    <w:rsid w:val="00FC0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8BF"/>
    <w:rPr>
      <w:u w:val="single"/>
    </w:rPr>
  </w:style>
  <w:style w:type="character" w:customStyle="1" w:styleId="BoldandItalics">
    <w:name w:val="Bold and Italics"/>
    <w:qFormat/>
    <w:rsid w:val="00FC08BF"/>
    <w:rPr>
      <w:b/>
      <w:i/>
      <w:u w:val="none"/>
    </w:rPr>
  </w:style>
  <w:style w:type="paragraph" w:styleId="BalloonText">
    <w:name w:val="Balloon Text"/>
    <w:basedOn w:val="Normal"/>
    <w:link w:val="BalloonTextChar"/>
    <w:rsid w:val="00FC0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8BF"/>
    <w:pPr>
      <w:spacing w:before="0" w:after="0"/>
    </w:pPr>
  </w:style>
  <w:style w:type="paragraph" w:customStyle="1" w:styleId="BodyTextBold">
    <w:name w:val="Body Text Bold"/>
    <w:basedOn w:val="BodyText"/>
    <w:qFormat/>
    <w:rsid w:val="00FC08BF"/>
    <w:rPr>
      <w:b/>
    </w:rPr>
  </w:style>
  <w:style w:type="character" w:styleId="Hyperlink">
    <w:name w:val="Hyperlink"/>
    <w:basedOn w:val="DefaultParagraphFont"/>
    <w:uiPriority w:val="99"/>
    <w:unhideWhenUsed/>
    <w:rsid w:val="000033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3054</Characters>
  <Application>Microsoft Office Word</Application>
  <DocSecurity>0</DocSecurity>
  <Lines>138</Lines>
  <Paragraphs>73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NWPTRD008 Process standard trade waste approvals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