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7FA" w:rsidP="009D4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NWPTRD007 Monitor trade waste approvals</w:t>
      </w:r>
      <w:r>
        <w:fldChar w:fldCharType="end"/>
      </w:r>
    </w:p>
    <w:p w:rsidR="009D47FA" w:rsidP="009D47FA">
      <w:pPr>
        <w:pStyle w:val="Version"/>
        <w:sectPr w:rsidSect="00E63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CC7" w:rsidP="00E63CC7">
      <w:pPr>
        <w:pStyle w:val="SuperHeading"/>
      </w:pPr>
      <w:r w:rsidRPr="00E63CC7">
        <w:t>Assessment Requirements for NWPTRD007 Monitor trade waste approvals</w:t>
      </w:r>
    </w:p>
    <w:p w:rsidR="00000000" w:rsidRPr="00E63CC7" w:rsidP="00E63CC7">
      <w:pPr>
        <w:pStyle w:val="Heading1"/>
      </w:pPr>
      <w:bookmarkStart w:id="1" w:name="O_1122687"/>
      <w:bookmarkEnd w:id="1"/>
      <w:r w:rsidRPr="00E63C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C7" w:rsidP="00E63CC7">
            <w:pPr>
              <w:pStyle w:val="BodyText"/>
            </w:pPr>
            <w:r w:rsidRPr="00E63CC7">
              <w:t>Release 1. This is the first release of this unit of competency in the NWP National Water Training Package.</w:t>
            </w:r>
          </w:p>
        </w:tc>
      </w:tr>
    </w:tbl>
    <w:p w:rsidR="009D47FA" w:rsidP="00E63CC7">
      <w:pPr>
        <w:pStyle w:val="NoPaddingFontSize1"/>
      </w:pPr>
    </w:p>
    <w:p w:rsidR="009D47FA" w:rsidP="00E63CC7">
      <w:pPr>
        <w:pStyle w:val="NoPaddingFontSize1"/>
      </w:pPr>
    </w:p>
    <w:p w:rsidR="00000000" w:rsidRPr="00E63CC7" w:rsidP="00E63CC7">
      <w:pPr>
        <w:pStyle w:val="Heading1"/>
      </w:pPr>
      <w:bookmarkStart w:id="2" w:name="O_1122688"/>
      <w:bookmarkEnd w:id="2"/>
      <w:r w:rsidRPr="00E63C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C7">
            <w:pPr>
              <w:pStyle w:val="BodyText"/>
              <w:rPr>
                <w:lang w:val="en-NZ"/>
              </w:rPr>
            </w:pPr>
            <w:r w:rsidRPr="00E63CC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E63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C7" w:rsidP="00E63CC7">
            <w:pPr>
              <w:pStyle w:val="ListBullet"/>
            </w:pPr>
            <w:r w:rsidRPr="00E63CC7">
              <w:t>analysing test results</w:t>
            </w:r>
          </w:p>
          <w:p w:rsidR="00000000" w:rsidRPr="00E63CC7" w:rsidP="00E63CC7">
            <w:pPr>
              <w:pStyle w:val="ListBullet"/>
            </w:pPr>
            <w:r w:rsidRPr="00E63CC7">
              <w:t>assessing environmen</w:t>
            </w:r>
            <w:r w:rsidRPr="00E63CC7">
              <w:t>tal impact against relevant industry standards</w:t>
            </w:r>
          </w:p>
          <w:p w:rsidR="00000000" w:rsidRPr="00E63CC7" w:rsidP="00E63CC7">
            <w:pPr>
              <w:pStyle w:val="ListBullet"/>
            </w:pPr>
            <w:r w:rsidRPr="00E63CC7">
              <w:t>assessing risks and hazards associated with sampling activities</w:t>
            </w:r>
          </w:p>
          <w:p w:rsidR="00000000" w:rsidRPr="00E63CC7" w:rsidP="00E63CC7">
            <w:pPr>
              <w:pStyle w:val="ListBullet"/>
            </w:pPr>
            <w:r w:rsidRPr="00E63CC7">
              <w:t>assessing waste treatment methods, processes, plant and equipment</w:t>
            </w:r>
          </w:p>
          <w:p w:rsidR="00000000" w:rsidRPr="00E63CC7" w:rsidP="00E63CC7">
            <w:pPr>
              <w:pStyle w:val="ListBullet"/>
            </w:pPr>
            <w:r w:rsidRPr="00E63CC7">
              <w:t>coordinating measuring, testing and sampling activities</w:t>
            </w:r>
          </w:p>
          <w:p w:rsidR="00000000" w:rsidRPr="00E63CC7" w:rsidP="00E63CC7">
            <w:pPr>
              <w:pStyle w:val="ListBullet"/>
            </w:pPr>
            <w:r w:rsidRPr="00E63CC7">
              <w:t>developing monitoring plans</w:t>
            </w:r>
          </w:p>
          <w:p w:rsidR="00000000" w:rsidRPr="00E63CC7" w:rsidP="00E63CC7">
            <w:pPr>
              <w:pStyle w:val="ListBullet"/>
            </w:pPr>
            <w:r w:rsidRPr="00E63CC7">
              <w:t>implementing monitoring and testing programs</w:t>
            </w:r>
          </w:p>
          <w:p w:rsidR="00000000" w:rsidRPr="00E63CC7" w:rsidP="00E63CC7">
            <w:pPr>
              <w:pStyle w:val="ListBullet"/>
            </w:pPr>
            <w:r w:rsidRPr="00E63CC7">
              <w:t>interpreting and applying legislation and policies applicable to trade waste</w:t>
            </w:r>
          </w:p>
          <w:p w:rsidR="00000000" w:rsidRPr="00E63CC7" w:rsidP="00E63CC7">
            <w:pPr>
              <w:pStyle w:val="ListBullet"/>
            </w:pPr>
            <w:r w:rsidRPr="00E63CC7">
              <w:t>interpreting and evaluating sample analysis data</w:t>
            </w:r>
          </w:p>
          <w:p w:rsidR="00000000" w:rsidRPr="00E63CC7" w:rsidP="00E63CC7">
            <w:pPr>
              <w:pStyle w:val="ListBullet"/>
            </w:pPr>
            <w:r w:rsidRPr="00E63CC7">
              <w:t>investigating problems on-site</w:t>
            </w:r>
          </w:p>
          <w:p w:rsidR="00000000" w:rsidRPr="00E63CC7" w:rsidP="00E63CC7">
            <w:pPr>
              <w:pStyle w:val="ListBullet"/>
            </w:pPr>
            <w:r w:rsidRPr="00E63CC7">
              <w:t xml:space="preserve">monitoring process inputs </w:t>
            </w:r>
            <w:r w:rsidRPr="00E63CC7">
              <w:t>and outputs</w:t>
            </w:r>
          </w:p>
          <w:p w:rsidR="00000000" w:rsidRPr="00E63CC7" w:rsidP="00E63CC7">
            <w:pPr>
              <w:pStyle w:val="ListBullet"/>
            </w:pPr>
            <w:r w:rsidRPr="00E63CC7">
              <w:t>monitoring treatment and disposal provisions on-site</w:t>
            </w:r>
          </w:p>
          <w:p w:rsidR="00000000" w:rsidRPr="00E63CC7" w:rsidP="00E63CC7">
            <w:pPr>
              <w:pStyle w:val="ListBullet"/>
            </w:pPr>
            <w:r w:rsidRPr="00E63CC7">
              <w:t>planning and conducting investigations</w:t>
            </w:r>
          </w:p>
          <w:p w:rsidR="00000000" w:rsidRPr="00E63CC7" w:rsidP="00E63CC7">
            <w:pPr>
              <w:pStyle w:val="ListBullet"/>
            </w:pPr>
            <w:r w:rsidRPr="00E63CC7">
              <w:t>recording and reporting data</w:t>
            </w:r>
          </w:p>
          <w:p w:rsidR="00000000" w:rsidRPr="00E63CC7" w:rsidP="00E63CC7">
            <w:pPr>
              <w:pStyle w:val="ListBullet"/>
            </w:pPr>
            <w:r w:rsidRPr="00E63CC7">
              <w:t>taking samples using the followings methods:</w:t>
            </w:r>
          </w:p>
          <w:p w:rsidR="00000000" w:rsidRPr="00E63CC7" w:rsidP="00E63CC7">
            <w:pPr>
              <w:pStyle w:val="ListBullet2"/>
            </w:pPr>
            <w:r w:rsidRPr="00E63CC7">
              <w:t>grab</w:t>
            </w:r>
          </w:p>
          <w:p w:rsidR="00000000" w:rsidRPr="00E63CC7" w:rsidP="00E63CC7">
            <w:pPr>
              <w:pStyle w:val="ListBullet2"/>
            </w:pPr>
            <w:r w:rsidRPr="00E63CC7">
              <w:t>composite</w:t>
            </w:r>
          </w:p>
          <w:p w:rsidR="00000000" w:rsidRPr="00E63CC7" w:rsidP="00E63CC7">
            <w:pPr>
              <w:pStyle w:val="ListBullet"/>
            </w:pPr>
            <w:r w:rsidRPr="00E63CC7">
              <w:t>using appropriate personal protective equipment for protectio</w:t>
            </w:r>
            <w:r w:rsidRPr="00E63CC7">
              <w:t>n against physical, chemical and biological hazards</w:t>
            </w:r>
          </w:p>
          <w:p w:rsidR="00000000" w:rsidRPr="00E63CC7" w:rsidP="00E63CC7">
            <w:pPr>
              <w:pStyle w:val="ListBullet"/>
            </w:pPr>
            <w:r w:rsidRPr="00E63CC7">
              <w:t>using wastewater sampling and preservation techniques for on-site and laboratory testing</w:t>
            </w:r>
          </w:p>
          <w:p w:rsidR="00000000" w:rsidRPr="00E63CC7" w:rsidP="00E63CC7">
            <w:pPr>
              <w:pStyle w:val="ListBullet"/>
            </w:pPr>
            <w:r w:rsidRPr="00E63CC7">
              <w:t>workplace documentation for data and reports</w:t>
            </w:r>
          </w:p>
        </w:tc>
      </w:tr>
    </w:tbl>
    <w:p w:rsidR="00000000" w:rsidRPr="00E63CC7" w:rsidP="00E63CC7">
      <w:pPr>
        <w:pStyle w:val="BodyText"/>
      </w:pPr>
    </w:p>
    <w:p w:rsidR="00000000" w:rsidRPr="00E63CC7" w:rsidP="00E63CC7">
      <w:pPr>
        <w:pStyle w:val="AllowPageBreak"/>
      </w:pPr>
    </w:p>
    <w:p w:rsidR="00000000" w:rsidRPr="00E63CC7" w:rsidP="00E63CC7">
      <w:pPr>
        <w:pStyle w:val="Heading1"/>
      </w:pPr>
      <w:bookmarkStart w:id="3" w:name="O_1122689"/>
      <w:bookmarkEnd w:id="3"/>
      <w:r w:rsidRPr="00E63C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C7">
            <w:pPr>
              <w:pStyle w:val="BodyText"/>
              <w:rPr>
                <w:lang w:val="en-NZ"/>
              </w:rPr>
            </w:pPr>
            <w:r w:rsidRPr="00E63CC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63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C7" w:rsidP="00E63CC7">
            <w:pPr>
              <w:pStyle w:val="ListBullet"/>
            </w:pPr>
            <w:r w:rsidRPr="00E63CC7">
              <w:t>customer expectations and requirements</w:t>
            </w:r>
          </w:p>
          <w:p w:rsidR="00000000" w:rsidRPr="00E63CC7" w:rsidP="00E63CC7">
            <w:pPr>
              <w:pStyle w:val="ListBullet"/>
            </w:pPr>
            <w:r w:rsidRPr="00E63CC7">
              <w:t>investigation procedures</w:t>
            </w:r>
          </w:p>
          <w:p w:rsidR="00000000" w:rsidRPr="00E63CC7" w:rsidP="00E63CC7">
            <w:pPr>
              <w:pStyle w:val="ListBullet"/>
            </w:pPr>
            <w:r w:rsidRPr="00E63CC7">
              <w:t>monitoring te</w:t>
            </w:r>
            <w:r w:rsidRPr="00E63CC7">
              <w:t>chniques include:</w:t>
            </w:r>
          </w:p>
          <w:p w:rsidR="00000000" w:rsidRPr="00E63CC7" w:rsidP="00E63CC7">
            <w:pPr>
              <w:pStyle w:val="ListBullet2"/>
            </w:pPr>
            <w:r w:rsidRPr="00E63CC7">
              <w:t>continuous monitoring</w:t>
            </w:r>
          </w:p>
          <w:p w:rsidR="00000000" w:rsidRPr="00E63CC7" w:rsidP="00E63CC7">
            <w:pPr>
              <w:pStyle w:val="ListBullet2"/>
            </w:pPr>
            <w:r w:rsidRPr="00E63CC7">
              <w:t>flow metering</w:t>
            </w:r>
          </w:p>
          <w:p w:rsidR="00000000" w:rsidRPr="00E63CC7" w:rsidP="00E63CC7">
            <w:pPr>
              <w:pStyle w:val="ListBullet2"/>
            </w:pPr>
            <w:r w:rsidRPr="00E63CC7">
              <w:t>sampling</w:t>
            </w:r>
          </w:p>
          <w:p w:rsidR="00000000" w:rsidRPr="00E63CC7" w:rsidP="00E63CC7">
            <w:pPr>
              <w:pStyle w:val="ListBullet2"/>
            </w:pPr>
            <w:r w:rsidRPr="00E63CC7">
              <w:t>self-monitoring</w:t>
            </w:r>
          </w:p>
          <w:p w:rsidR="00000000" w:rsidRPr="00E63CC7" w:rsidP="00E63CC7">
            <w:pPr>
              <w:pStyle w:val="ListBullet"/>
            </w:pPr>
            <w:r w:rsidRPr="00E63CC7">
              <w:t>personal protection and safety precautions for wastewater sampling including requirements for relevant inoculations:</w:t>
            </w:r>
          </w:p>
          <w:p w:rsidR="00000000" w:rsidRPr="00E63CC7" w:rsidP="00E63CC7">
            <w:pPr>
              <w:pStyle w:val="ListBullet2"/>
            </w:pPr>
            <w:r w:rsidRPr="00E63CC7">
              <w:t>diphtheria</w:t>
            </w:r>
          </w:p>
          <w:p w:rsidR="00000000" w:rsidRPr="00E63CC7" w:rsidP="00E63CC7">
            <w:pPr>
              <w:pStyle w:val="ListBullet2"/>
            </w:pPr>
            <w:r w:rsidRPr="00E63CC7">
              <w:t>hepatitis A and B</w:t>
            </w:r>
          </w:p>
          <w:p w:rsidR="00000000" w:rsidRPr="00E63CC7" w:rsidP="00E63CC7">
            <w:pPr>
              <w:pStyle w:val="ListBullet2"/>
            </w:pPr>
            <w:r w:rsidRPr="00E63CC7">
              <w:t>polio</w:t>
            </w:r>
          </w:p>
          <w:p w:rsidR="00000000" w:rsidRPr="00E63CC7" w:rsidP="00E63CC7">
            <w:pPr>
              <w:pStyle w:val="ListBullet2"/>
            </w:pPr>
            <w:r w:rsidRPr="00E63CC7">
              <w:t>Q fever</w:t>
            </w:r>
          </w:p>
          <w:p w:rsidR="00000000" w:rsidRPr="00E63CC7" w:rsidP="00E63CC7">
            <w:pPr>
              <w:pStyle w:val="ListBullet2"/>
            </w:pPr>
            <w:r w:rsidRPr="00E63CC7">
              <w:t>tetanus</w:t>
            </w:r>
          </w:p>
          <w:p w:rsidR="00000000" w:rsidRPr="00E63CC7" w:rsidP="00E63CC7">
            <w:pPr>
              <w:pStyle w:val="ListBullet"/>
            </w:pPr>
            <w:r w:rsidRPr="00E63CC7">
              <w:t>range of appropriate measuring, testing and sampling procedures</w:t>
            </w:r>
          </w:p>
          <w:p w:rsidR="00000000" w:rsidRPr="00E63CC7" w:rsidP="00E63CC7">
            <w:pPr>
              <w:pStyle w:val="ListBullet"/>
            </w:pPr>
            <w:r w:rsidRPr="00E63CC7">
              <w:t>relevant enterprise policies for trade waste management</w:t>
            </w:r>
          </w:p>
          <w:p w:rsidR="00000000" w:rsidRPr="00E63CC7" w:rsidP="00E63CC7">
            <w:pPr>
              <w:pStyle w:val="ListBullet"/>
            </w:pPr>
            <w:r w:rsidRPr="00E63CC7">
              <w:t>relevant legislation</w:t>
            </w:r>
          </w:p>
          <w:p w:rsidR="00000000" w:rsidRPr="00E63CC7" w:rsidP="00E63CC7">
            <w:pPr>
              <w:pStyle w:val="ListBullet"/>
            </w:pPr>
            <w:r w:rsidRPr="00E63CC7">
              <w:t>sample collection techniques and chain of custody requirements</w:t>
            </w:r>
          </w:p>
          <w:p w:rsidR="00000000" w:rsidRPr="00E63CC7" w:rsidP="00E63CC7">
            <w:pPr>
              <w:pStyle w:val="ListBullet"/>
            </w:pPr>
            <w:r w:rsidRPr="00E63CC7">
              <w:t>standard industrial waste treatment methods, process</w:t>
            </w:r>
            <w:r w:rsidRPr="00E63CC7">
              <w:t>es and procedures for retail commercial and light industrial organisations</w:t>
            </w:r>
          </w:p>
          <w:p w:rsidR="00000000" w:rsidRPr="00E63CC7" w:rsidP="00E63CC7">
            <w:pPr>
              <w:pStyle w:val="ListBullet"/>
            </w:pPr>
            <w:r w:rsidRPr="00E63CC7">
              <w:t>trade waste monitoring equipment includes:</w:t>
            </w:r>
          </w:p>
          <w:p w:rsidR="00000000" w:rsidRPr="00E63CC7" w:rsidP="00E63CC7">
            <w:pPr>
              <w:pStyle w:val="ListBullet2"/>
            </w:pPr>
            <w:r w:rsidRPr="00E63CC7">
              <w:t>composite sampler</w:t>
            </w:r>
          </w:p>
          <w:p w:rsidR="00000000" w:rsidRPr="00E63CC7" w:rsidP="00E63CC7">
            <w:pPr>
              <w:pStyle w:val="ListBullet2"/>
            </w:pPr>
            <w:r w:rsidRPr="00E63CC7">
              <w:t>gatic and maintenance hole lifters</w:t>
            </w:r>
          </w:p>
          <w:p w:rsidR="00000000" w:rsidRPr="00E63CC7" w:rsidP="00E63CC7">
            <w:pPr>
              <w:pStyle w:val="ListBullet2"/>
            </w:pPr>
            <w:r w:rsidRPr="00E63CC7">
              <w:t>portable monitoring equipment</w:t>
            </w:r>
          </w:p>
          <w:p w:rsidR="00000000" w:rsidRPr="00E63CC7" w:rsidP="00E63CC7">
            <w:pPr>
              <w:pStyle w:val="ListBullet2"/>
            </w:pPr>
            <w:r w:rsidRPr="00E63CC7">
              <w:t>sludge judge</w:t>
            </w:r>
          </w:p>
          <w:p w:rsidR="00000000" w:rsidRPr="00E63CC7" w:rsidP="00E63CC7">
            <w:pPr>
              <w:pStyle w:val="ListBullet"/>
            </w:pPr>
            <w:r w:rsidRPr="00E63CC7">
              <w:t>water quality parameters of significance to the wastewater system</w:t>
            </w:r>
          </w:p>
          <w:p w:rsidR="00000000" w:rsidRPr="00E63CC7" w:rsidP="00E63CC7">
            <w:pPr>
              <w:pStyle w:val="ListBullet"/>
            </w:pPr>
            <w:r w:rsidRPr="00E63CC7">
              <w:t>work, health and safety (WHS) requirements</w:t>
            </w:r>
          </w:p>
        </w:tc>
      </w:tr>
    </w:tbl>
    <w:p w:rsidR="00000000" w:rsidRPr="00E63CC7" w:rsidP="00E63CC7">
      <w:pPr>
        <w:pStyle w:val="NoPaddingFontSize1"/>
      </w:pPr>
    </w:p>
    <w:p w:rsidR="00000000" w:rsidRPr="00E63CC7" w:rsidP="00E63CC7">
      <w:pPr>
        <w:pStyle w:val="AllowPageBreak"/>
      </w:pPr>
    </w:p>
    <w:p w:rsidR="00000000" w:rsidRPr="00E63CC7" w:rsidP="00E63CC7">
      <w:pPr>
        <w:pStyle w:val="Heading1"/>
      </w:pPr>
      <w:bookmarkStart w:id="4" w:name="O_1122690"/>
      <w:bookmarkEnd w:id="4"/>
      <w:r w:rsidRPr="00E63C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3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C7" w:rsidP="00E63CC7">
            <w:pPr>
              <w:pStyle w:val="BodyText"/>
            </w:pPr>
            <w:r w:rsidRPr="00E63CC7">
              <w:t xml:space="preserve">Assessors must hold credentials specified within the Standards for Registered Training Organisations current at the time of assessment. </w:t>
            </w:r>
          </w:p>
          <w:p w:rsidR="00000000" w:rsidRPr="00E63CC7" w:rsidP="00E63CC7">
            <w:pPr>
              <w:pStyle w:val="BodyText"/>
            </w:pPr>
            <w:r w:rsidRPr="00E63CC7">
              <w:t>Assessment must satisfy the Principles of Assessment and Rules of Evidence and all regulatory requirements included wit</w:t>
            </w:r>
            <w:r w:rsidRPr="00E63CC7">
              <w:t>hin the Standards for Registered Training Organisations current at the time of assessment.</w:t>
            </w:r>
          </w:p>
          <w:p w:rsidR="00000000" w:rsidRPr="00E63CC7" w:rsidP="00E63CC7">
            <w:pPr>
              <w:pStyle w:val="BodyText"/>
            </w:pPr>
            <w:r w:rsidRPr="00E63CC7">
              <w:t>Assessment must occur in workplace operational situations where it is appropriate to do so; where this is not appropriate, assessment must occur in simulated workpla</w:t>
            </w:r>
            <w:r w:rsidRPr="00E63CC7">
              <w:t>ce operational situations that replicate workplace conditions.</w:t>
            </w:r>
          </w:p>
          <w:p w:rsidR="00000000" w:rsidRPr="00E63CC7" w:rsidP="00E63CC7">
            <w:pPr>
              <w:pStyle w:val="BodyText"/>
            </w:pPr>
            <w:r w:rsidRPr="00E63CC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63CC7" w:rsidP="00E63CC7">
            <w:pPr>
              <w:pStyle w:val="BodyText"/>
            </w:pPr>
            <w:r w:rsidRPr="00E63CC7">
              <w:t xml:space="preserve">Resources for assessment </w:t>
            </w:r>
            <w:r w:rsidRPr="00E63CC7">
              <w:t>must include access to:</w:t>
            </w:r>
          </w:p>
          <w:p w:rsidR="00000000" w:rsidRPr="00E63CC7" w:rsidP="00E63CC7">
            <w:pPr>
              <w:pStyle w:val="ListBullet"/>
            </w:pPr>
            <w:r w:rsidRPr="00E63CC7">
              <w:t xml:space="preserve">relevant and appropriate materials, tools, equipment and personal protective equipment </w:t>
            </w:r>
            <w:r w:rsidRPr="00E63CC7">
              <w:t>currently used in industry</w:t>
            </w:r>
          </w:p>
          <w:p w:rsidR="00000000" w:rsidRPr="00E63CC7" w:rsidP="00E63CC7">
            <w:pPr>
              <w:pStyle w:val="ListBullet"/>
            </w:pPr>
            <w:r w:rsidRPr="00E63CC7">
              <w:t>applicable documentation including legislation, regulations, codes of practice, workplace procedures and operation ma</w:t>
            </w:r>
            <w:r w:rsidRPr="00E63CC7">
              <w:t>nuals.</w:t>
            </w:r>
          </w:p>
        </w:tc>
      </w:tr>
    </w:tbl>
    <w:p w:rsidR="00000000" w:rsidRPr="00E63CC7" w:rsidP="00E63CC7">
      <w:pPr>
        <w:pStyle w:val="NoPaddingFontSize1"/>
      </w:pPr>
    </w:p>
    <w:p w:rsidR="00000000" w:rsidRPr="00E63CC7" w:rsidP="00E63CC7">
      <w:pPr>
        <w:pStyle w:val="AllowPageBreak"/>
      </w:pPr>
    </w:p>
    <w:p w:rsidR="00000000" w:rsidRPr="00E63CC7" w:rsidP="00E63CC7">
      <w:pPr>
        <w:pStyle w:val="Heading1"/>
      </w:pPr>
      <w:bookmarkStart w:id="5" w:name="O_1122693"/>
      <w:bookmarkEnd w:id="5"/>
      <w:r w:rsidRPr="00E63CC7">
        <w:t>Links</w:t>
      </w:r>
    </w:p>
    <w:p w:rsidR="00000000" w:rsidRPr="00E63CC7" w:rsidP="009D47FA">
      <w:pPr>
        <w:pStyle w:val="BodyText"/>
      </w:pPr>
      <w:r w:rsidRPr="00E63C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93D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3CC7" w:rsidP="00E63CC7"/>
    <w:sectPr w:rsidSect="00E63C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C7" w:rsidRPr="009D47FA" w:rsidP="009D4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FA" w:rsidP="00E63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7FA" w:rsidP="00E63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47FA" w:rsidP="00E63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CC7" w:rsidRPr="009D47FA" w:rsidP="009D4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FA" w:rsidRPr="002D2AF8" w:rsidP="00E63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NWPTRD007 Monitor trade waste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D47FA" w:rsidP="00E63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92B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AE7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10D9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CC7"/>
  </w:style>
  <w:style w:type="character" w:customStyle="1" w:styleId="Heading1Char">
    <w:name w:val="Heading 1 Char"/>
    <w:basedOn w:val="DefaultParagraphFont"/>
    <w:link w:val="Heading1"/>
    <w:rsid w:val="00E63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C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C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3C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3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3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C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3CC7"/>
    <w:rPr>
      <w:b/>
      <w:spacing w:val="0"/>
    </w:rPr>
  </w:style>
  <w:style w:type="paragraph" w:customStyle="1" w:styleId="SuperTitle">
    <w:name w:val="SuperTitle"/>
    <w:basedOn w:val="Title"/>
    <w:rsid w:val="00E63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3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C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CC7"/>
    <w:rPr>
      <w:i/>
    </w:rPr>
  </w:style>
  <w:style w:type="paragraph" w:styleId="Caption">
    <w:name w:val="caption"/>
    <w:basedOn w:val="BodyText"/>
    <w:next w:val="Normal"/>
    <w:qFormat/>
    <w:rsid w:val="00E63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CC7"/>
  </w:style>
  <w:style w:type="paragraph" w:styleId="TableofFigures">
    <w:name w:val="table of figures"/>
    <w:basedOn w:val="Normal"/>
    <w:next w:val="Normal"/>
    <w:semiHidden/>
    <w:rsid w:val="00E63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C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3CC7"/>
    <w:rPr>
      <w:rFonts w:ascii="Wingdings" w:hAnsi="Wingdings"/>
    </w:rPr>
  </w:style>
  <w:style w:type="paragraph" w:customStyle="1" w:styleId="TableHeading">
    <w:name w:val="Table Heading"/>
    <w:basedOn w:val="HeadingBase"/>
    <w:rsid w:val="00E63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CC7"/>
    <w:rPr>
      <w:color w:val="0033CC"/>
      <w:u w:val="none"/>
    </w:rPr>
  </w:style>
  <w:style w:type="paragraph" w:customStyle="1" w:styleId="BodyTextRight">
    <w:name w:val="Body Text Right"/>
    <w:basedOn w:val="BodyText"/>
    <w:rsid w:val="00E63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C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CC7"/>
    <w:rPr>
      <w:sz w:val="32"/>
    </w:rPr>
  </w:style>
  <w:style w:type="paragraph" w:customStyle="1" w:styleId="HeadingProcedure">
    <w:name w:val="Heading Procedure"/>
    <w:basedOn w:val="HeadingBase"/>
    <w:next w:val="Normal"/>
    <w:rsid w:val="00E63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CC7"/>
    <w:pPr>
      <w:spacing w:before="60" w:after="60"/>
    </w:pPr>
  </w:style>
  <w:style w:type="paragraph" w:styleId="ListContinue">
    <w:name w:val="List Continue"/>
    <w:basedOn w:val="List"/>
    <w:rsid w:val="00E63CC7"/>
    <w:pPr>
      <w:ind w:firstLine="0"/>
    </w:pPr>
  </w:style>
  <w:style w:type="paragraph" w:customStyle="1" w:styleId="ListNote">
    <w:name w:val="List Note"/>
    <w:basedOn w:val="List"/>
    <w:rsid w:val="00E63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CC7"/>
    <w:rPr>
      <w:rFonts w:ascii="Courier New" w:hAnsi="Courier New"/>
    </w:rPr>
  </w:style>
  <w:style w:type="paragraph" w:customStyle="1" w:styleId="NoteBullet">
    <w:name w:val="Note Bullet"/>
    <w:basedOn w:val="Note"/>
    <w:rsid w:val="00E63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C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3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CC7"/>
    <w:rPr>
      <w:b/>
      <w:smallCaps/>
    </w:rPr>
  </w:style>
  <w:style w:type="paragraph" w:customStyle="1" w:styleId="TableListNumber">
    <w:name w:val="Table List Number"/>
    <w:basedOn w:val="ListNumber"/>
    <w:rsid w:val="00E63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CC7"/>
    <w:pPr>
      <w:numPr>
        <w:numId w:val="9"/>
      </w:numPr>
    </w:pPr>
  </w:style>
  <w:style w:type="paragraph" w:customStyle="1" w:styleId="ListAlpha2">
    <w:name w:val="List Alpha 2"/>
    <w:basedOn w:val="List2"/>
    <w:rsid w:val="00E63CC7"/>
    <w:pPr>
      <w:numPr>
        <w:numId w:val="8"/>
      </w:numPr>
    </w:pPr>
  </w:style>
  <w:style w:type="paragraph" w:styleId="List2">
    <w:name w:val="List 2"/>
    <w:basedOn w:val="BodyText"/>
    <w:rsid w:val="00E63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C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C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3CC7"/>
    <w:pPr>
      <w:numPr>
        <w:numId w:val="4"/>
      </w:numPr>
    </w:pPr>
  </w:style>
  <w:style w:type="paragraph" w:styleId="ListContinue2">
    <w:name w:val="List Continue 2"/>
    <w:basedOn w:val="List2"/>
    <w:rsid w:val="00E63CC7"/>
    <w:pPr>
      <w:ind w:firstLine="0"/>
    </w:pPr>
  </w:style>
  <w:style w:type="paragraph" w:styleId="ListContinue3">
    <w:name w:val="List Continue 3"/>
    <w:basedOn w:val="List3"/>
    <w:rsid w:val="00E63CC7"/>
    <w:pPr>
      <w:ind w:left="1021" w:firstLine="0"/>
    </w:pPr>
  </w:style>
  <w:style w:type="paragraph" w:styleId="ListContinue4">
    <w:name w:val="List Continue 4"/>
    <w:basedOn w:val="List4"/>
    <w:rsid w:val="00E63CC7"/>
    <w:pPr>
      <w:ind w:firstLine="0"/>
    </w:pPr>
  </w:style>
  <w:style w:type="paragraph" w:styleId="ListContinue5">
    <w:name w:val="List Continue 5"/>
    <w:basedOn w:val="List5"/>
    <w:rsid w:val="00E63CC7"/>
    <w:pPr>
      <w:ind w:firstLine="0"/>
    </w:pPr>
  </w:style>
  <w:style w:type="paragraph" w:styleId="ListNumber3">
    <w:name w:val="List Number 3"/>
    <w:basedOn w:val="List3"/>
    <w:rsid w:val="00E63CC7"/>
    <w:pPr>
      <w:numPr>
        <w:numId w:val="5"/>
      </w:numPr>
    </w:pPr>
  </w:style>
  <w:style w:type="paragraph" w:styleId="ListNumber4">
    <w:name w:val="List Number 4"/>
    <w:basedOn w:val="List4"/>
    <w:rsid w:val="00E63CC7"/>
    <w:pPr>
      <w:numPr>
        <w:numId w:val="6"/>
      </w:numPr>
    </w:pPr>
  </w:style>
  <w:style w:type="paragraph" w:styleId="ListNumber5">
    <w:name w:val="List Number 5"/>
    <w:basedOn w:val="List5"/>
    <w:rsid w:val="00E63CC7"/>
    <w:pPr>
      <w:numPr>
        <w:numId w:val="7"/>
      </w:numPr>
    </w:pPr>
  </w:style>
  <w:style w:type="paragraph" w:styleId="BlockText">
    <w:name w:val="Block Text"/>
    <w:basedOn w:val="Normal"/>
    <w:rsid w:val="00E63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CC7"/>
    <w:rPr>
      <w:sz w:val="16"/>
      <w:vertAlign w:val="superscript"/>
    </w:rPr>
  </w:style>
  <w:style w:type="character" w:customStyle="1" w:styleId="Symbols">
    <w:name w:val="Symbols"/>
    <w:basedOn w:val="DefaultParagraphFont"/>
    <w:rsid w:val="00E63CC7"/>
    <w:rPr>
      <w:rFonts w:ascii="Symbol" w:hAnsi="Symbol"/>
    </w:rPr>
  </w:style>
  <w:style w:type="character" w:customStyle="1" w:styleId="MenuOptions">
    <w:name w:val="Menu Options"/>
    <w:basedOn w:val="DefaultParagraphFont"/>
    <w:rsid w:val="00E63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CC7"/>
    <w:rPr>
      <w:b/>
    </w:rPr>
  </w:style>
  <w:style w:type="character" w:customStyle="1" w:styleId="Underlined">
    <w:name w:val="Underlined"/>
    <w:basedOn w:val="DefaultParagraphFont"/>
    <w:rsid w:val="00E63CC7"/>
    <w:rPr>
      <w:u w:val="single"/>
    </w:rPr>
  </w:style>
  <w:style w:type="paragraph" w:customStyle="1" w:styleId="TableBodyTextRight">
    <w:name w:val="Table Body Text Right"/>
    <w:basedOn w:val="TableBodyText"/>
    <w:rsid w:val="00E63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CC7"/>
    <w:rPr>
      <w:sz w:val="18"/>
    </w:rPr>
  </w:style>
  <w:style w:type="paragraph" w:customStyle="1" w:styleId="BodySmallRight">
    <w:name w:val="Body Small Right"/>
    <w:basedOn w:val="BodyTextRight"/>
    <w:rsid w:val="00E63CC7"/>
    <w:rPr>
      <w:sz w:val="18"/>
      <w:szCs w:val="18"/>
    </w:rPr>
  </w:style>
  <w:style w:type="paragraph" w:customStyle="1" w:styleId="MarginEdition">
    <w:name w:val="Margin Edition"/>
    <w:basedOn w:val="MarginNote"/>
    <w:rsid w:val="00E63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CC7"/>
    <w:rPr>
      <w:sz w:val="2"/>
      <w:szCs w:val="2"/>
    </w:rPr>
  </w:style>
  <w:style w:type="character" w:customStyle="1" w:styleId="Small">
    <w:name w:val="Small"/>
    <w:basedOn w:val="DefaultParagraphFont"/>
    <w:rsid w:val="00E63CC7"/>
    <w:rPr>
      <w:sz w:val="16"/>
    </w:rPr>
  </w:style>
  <w:style w:type="paragraph" w:customStyle="1" w:styleId="WideTable">
    <w:name w:val="Wide Table"/>
    <w:basedOn w:val="Normal"/>
    <w:rsid w:val="00E63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CC7"/>
  </w:style>
  <w:style w:type="paragraph" w:styleId="Quote">
    <w:name w:val="Quote"/>
    <w:basedOn w:val="Heading1"/>
    <w:link w:val="QuoteChar"/>
    <w:qFormat/>
    <w:rsid w:val="00E63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CC7"/>
    <w:pPr>
      <w:pageBreakBefore/>
    </w:pPr>
  </w:style>
  <w:style w:type="paragraph" w:customStyle="1" w:styleId="Border">
    <w:name w:val="Border"/>
    <w:basedOn w:val="Normal"/>
    <w:qFormat/>
    <w:rsid w:val="00E63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CC7"/>
    <w:rPr>
      <w:u w:val="single"/>
    </w:rPr>
  </w:style>
  <w:style w:type="character" w:customStyle="1" w:styleId="BoldandItalics">
    <w:name w:val="Bold and Italics"/>
    <w:qFormat/>
    <w:rsid w:val="00E63CC7"/>
    <w:rPr>
      <w:b/>
      <w:i/>
      <w:u w:val="none"/>
    </w:rPr>
  </w:style>
  <w:style w:type="paragraph" w:styleId="BalloonText">
    <w:name w:val="Balloon Text"/>
    <w:basedOn w:val="Normal"/>
    <w:link w:val="BalloonTextChar"/>
    <w:rsid w:val="00E63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CC7"/>
    <w:pPr>
      <w:spacing w:before="0" w:after="0"/>
    </w:pPr>
  </w:style>
  <w:style w:type="paragraph" w:customStyle="1" w:styleId="BodyTextBold">
    <w:name w:val="Body Text Bold"/>
    <w:basedOn w:val="BodyText"/>
    <w:qFormat/>
    <w:rsid w:val="00E63CC7"/>
    <w:rPr>
      <w:b/>
    </w:rPr>
  </w:style>
  <w:style w:type="character" w:styleId="Hyperlink">
    <w:name w:val="Hyperlink"/>
    <w:basedOn w:val="DefaultParagraphFont"/>
    <w:uiPriority w:val="99"/>
    <w:unhideWhenUsed/>
    <w:rsid w:val="009D4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3455</Characters>
  <Application>Microsoft Office Word</Application>
  <DocSecurity>0</DocSecurity>
  <Lines>93</Lines>
  <Paragraphs>74</Paragraphs>
  <ScaleCrop>false</ScaleCrop>
  <Company>Author-it Software Corporation Ltd.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NWPTRD007 Monitor trade waste approvals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