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B9B" w:rsidP="00F84B9B">
      <w:pPr>
        <w:pStyle w:val="Title"/>
      </w:pPr>
      <w:r>
        <w:fldChar w:fldCharType="begin"/>
      </w:r>
      <w:r>
        <w:instrText xml:space="preserve"> TITLE   \* MERGEFORMAT </w:instrText>
      </w:r>
      <w:r>
        <w:fldChar w:fldCharType="separate"/>
      </w:r>
      <w:r>
        <w:t>NWPTRD006 Investigate trade waste incidents and non-compliances</w:t>
      </w:r>
      <w:r>
        <w:fldChar w:fldCharType="end"/>
      </w:r>
    </w:p>
    <w:p w:rsidR="00F84B9B" w:rsidP="00F84B9B">
      <w:pPr>
        <w:pStyle w:val="Version"/>
        <w:sectPr w:rsidSect="009977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7DE" w:rsidP="009977DE">
      <w:pPr>
        <w:pStyle w:val="SuperHeading"/>
      </w:pPr>
      <w:r w:rsidRPr="009977DE">
        <w:t>NWPTRD006 Investigate trade waste incidents and non-compliances</w:t>
      </w:r>
    </w:p>
    <w:p w:rsidR="00000000" w:rsidRPr="009977DE" w:rsidP="009977DE">
      <w:pPr>
        <w:pStyle w:val="Heading1"/>
      </w:pPr>
      <w:bookmarkStart w:id="1" w:name="O_1122658"/>
      <w:bookmarkEnd w:id="1"/>
      <w:r w:rsidRPr="009977DE">
        <w:t>Modification History</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Release 1. This is the first release of this unit of competency in the NWP National Water Training Package.</w:t>
            </w:r>
          </w:p>
        </w:tc>
      </w:tr>
    </w:tbl>
    <w:p w:rsidR="00F84B9B" w:rsidP="009977DE">
      <w:pPr>
        <w:pStyle w:val="NoPaddingFontSize1"/>
      </w:pPr>
    </w:p>
    <w:p w:rsidR="00F84B9B" w:rsidP="009977DE">
      <w:pPr>
        <w:pStyle w:val="NoPaddingFontSize1"/>
      </w:pPr>
    </w:p>
    <w:p w:rsidR="00000000" w:rsidRPr="009977DE" w:rsidP="009977DE">
      <w:pPr>
        <w:pStyle w:val="Heading1"/>
      </w:pPr>
      <w:bookmarkStart w:id="2" w:name="O_1122659"/>
      <w:bookmarkEnd w:id="2"/>
      <w:r w:rsidRPr="009977DE">
        <w:t>Application</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rPr>
          <w:trHeight w:val="3644"/>
        </w:trPr>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This unit involves the skills and knowledge required to investigate trade waste incidents and non-compliances.</w:t>
            </w:r>
          </w:p>
          <w:p w:rsidR="00000000" w:rsidRPr="009977DE" w:rsidP="009977DE">
            <w:pPr>
              <w:pStyle w:val="BodyText"/>
            </w:pPr>
            <w:r w:rsidRPr="009977DE">
              <w:t>It includes identifying trade waste incident locations, investigating the cause and effect of trade waste incidents and identifying incident sour</w:t>
            </w:r>
            <w:r w:rsidRPr="009977DE">
              <w:t>ce and arranging rectification.  It also includes compiling trade waste incident reports and conducting post incident monitoring to ensure ongoing compliance.</w:t>
            </w:r>
          </w:p>
          <w:p w:rsidR="00000000" w:rsidRPr="009977DE" w:rsidP="009977DE">
            <w:pPr>
              <w:pStyle w:val="BodyText"/>
            </w:pPr>
            <w:r w:rsidRPr="009977DE">
              <w:t>This unit applies to those working as trade waste officers or inspectors with a specific responsi</w:t>
            </w:r>
            <w:r w:rsidRPr="009977DE">
              <w:t>bility for investigating trade waste incidents, identifying the source of the problem, arranging corrective action and compiling comprehensive reports. Those undertaking this unit would work autonomously, usually with supervisory responsibilities, while pe</w:t>
            </w:r>
            <w:r w:rsidRPr="009977DE">
              <w:t xml:space="preserve">rforming complex tasks in a range of contexts. </w:t>
            </w:r>
          </w:p>
          <w:p w:rsidR="00000000" w:rsidRPr="009977DE" w:rsidP="009977DE">
            <w:pPr>
              <w:pStyle w:val="BodyText"/>
            </w:pPr>
            <w:r w:rsidRPr="009977DE">
              <w:t>No licensing, legislative or certification requirements apply to this unit at the time of publication.</w:t>
            </w:r>
          </w:p>
        </w:tc>
      </w:tr>
    </w:tbl>
    <w:p w:rsidR="00F84B9B" w:rsidP="009977DE">
      <w:pPr>
        <w:pStyle w:val="NoPaddingFontSize1"/>
      </w:pPr>
    </w:p>
    <w:p w:rsidR="00F84B9B" w:rsidP="009977DE">
      <w:pPr>
        <w:pStyle w:val="NoPaddingFontSize1"/>
      </w:pPr>
    </w:p>
    <w:p w:rsidR="00000000" w:rsidRPr="009977DE" w:rsidP="009977DE">
      <w:pPr>
        <w:pStyle w:val="Heading1"/>
      </w:pPr>
      <w:bookmarkStart w:id="3" w:name="O_1122660"/>
      <w:bookmarkEnd w:id="3"/>
      <w:r w:rsidRPr="009977DE">
        <w:t>Pre-requisite Unit</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Not applicable.</w:t>
            </w:r>
          </w:p>
        </w:tc>
      </w:tr>
    </w:tbl>
    <w:p w:rsidR="00F84B9B" w:rsidP="009977DE">
      <w:pPr>
        <w:pStyle w:val="NoPaddingFontSize1"/>
      </w:pPr>
    </w:p>
    <w:p w:rsidR="00F84B9B" w:rsidP="009977DE">
      <w:pPr>
        <w:pStyle w:val="NoPaddingFontSize1"/>
      </w:pPr>
    </w:p>
    <w:p w:rsidR="00000000" w:rsidRPr="009977DE" w:rsidP="009977DE">
      <w:pPr>
        <w:pStyle w:val="Heading1"/>
      </w:pPr>
      <w:bookmarkStart w:id="4" w:name="O_1122661"/>
      <w:bookmarkEnd w:id="4"/>
      <w:r w:rsidRPr="009977DE">
        <w:t>Competency Field</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Trade waste</w:t>
            </w:r>
          </w:p>
        </w:tc>
      </w:tr>
    </w:tbl>
    <w:p w:rsidR="00F84B9B" w:rsidP="009977DE">
      <w:pPr>
        <w:pStyle w:val="NoPaddingFontSize1"/>
      </w:pPr>
    </w:p>
    <w:p w:rsidR="00F84B9B" w:rsidP="009977DE">
      <w:pPr>
        <w:pStyle w:val="NoPaddingFontSize1"/>
      </w:pPr>
    </w:p>
    <w:p w:rsidR="00000000" w:rsidRPr="009977DE" w:rsidP="009977DE">
      <w:pPr>
        <w:pStyle w:val="Heading1"/>
      </w:pPr>
      <w:bookmarkStart w:id="5" w:name="O_1122662"/>
      <w:bookmarkEnd w:id="5"/>
      <w:r w:rsidRPr="009977DE">
        <w:t>Unit Sector</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Not applicable.</w:t>
            </w:r>
          </w:p>
        </w:tc>
      </w:tr>
    </w:tbl>
    <w:p w:rsidR="00F84B9B" w:rsidP="009977DE">
      <w:pPr>
        <w:pStyle w:val="NoPaddingFontSize1"/>
      </w:pPr>
    </w:p>
    <w:p w:rsidR="00F84B9B" w:rsidP="009977DE">
      <w:pPr>
        <w:pStyle w:val="NoPaddingFontSize1"/>
      </w:pPr>
    </w:p>
    <w:p w:rsidR="00000000" w:rsidRPr="009977DE" w:rsidP="009977DE">
      <w:pPr>
        <w:pStyle w:val="Heading1"/>
      </w:pPr>
      <w:bookmarkStart w:id="6" w:name="O_1122663"/>
      <w:bookmarkEnd w:id="6"/>
      <w:r w:rsidRPr="009977D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977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PERFORMANCE CRITERIA</w:t>
            </w:r>
          </w:p>
        </w:tc>
      </w:tr>
      <w:tr w:rsidTr="009977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 xml:space="preserve">Elements describe the essential </w:t>
            </w:r>
            <w:r w:rsidRPr="009977DE">
              <w:t>outcomes.</w:t>
            </w:r>
          </w:p>
        </w:tc>
        <w:tc>
          <w:tcPr>
            <w:tcW w:w="6289" w:type="dxa"/>
            <w:gridSpan w:val="2"/>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 xml:space="preserve">Performance criteria describe the performance needed to </w:t>
            </w:r>
            <w:r w:rsidRPr="009977DE">
              <w:t>demonstrate achievement of the element.</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Identify trade waste incident location</w:t>
            </w: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Identify and confirm the location and cause of trade waste incidents and notify relevant stakeholders</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 xml:space="preserve">Develop processes to deal with an incident, assess the extent of the incident and identify the possible effects </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Implement actions or make recommendations to minimise potential harm</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Conduct inspections and sampling of incident locations and e</w:t>
            </w:r>
            <w:r w:rsidRPr="009977DE">
              <w:t>nvirons and analyse and report findings and results</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Investigate the cause and effect of trade waste incidents</w:t>
            </w: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Identify and confirm the trade waste catchment for incident locations</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Analyse the wastewater catchment for possible sources of unaut</w:t>
            </w:r>
            <w:r w:rsidRPr="009977DE">
              <w:t>horised or illegal discharge and report to relevant personnel</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Schedule inspections of potential sources of unauthorised or illegal discharge and make appropriate preparations</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Investigate the possible effects of trade waste incidents and assess the level of severity</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Identify incident source and arrange rectification</w:t>
            </w: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Conduct inspections of potential sources according to workplace procedures</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Gather, record and analyse evidence and where possible, confirm the correct source of unauthorised or illegal trade waste discharge</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Identify, analyse and select methods for rectifying problems</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Consult with the approval holder or representative and advise of rectification requirements and incident repercussions</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Compile trade waste incident reports</w:t>
            </w: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Record and process data and information relating to investigations and evidence gathered</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4</w:t>
            </w:r>
            <w:r w:rsidRPr="009977DE">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Compile, process and distribute incident reports for prosecutions, including rectification arrangements to relevant personnel</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rPr>
                <w:rStyle w:val="SpecialBold"/>
              </w:rPr>
              <w:t>Conduct post incident monitoring to ensure ongoing compliance</w:t>
            </w: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Adjust trade waste treatment and discharge monitoring sche</w:t>
            </w:r>
            <w:r w:rsidRPr="009977DE">
              <w:t>dules and prepare and apply a post-incident monitoring plan</w:t>
            </w:r>
          </w:p>
        </w:tc>
      </w:tr>
      <w:tr w:rsidTr="009977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7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Identify instigators and investigate breaches of trade waste discharge provisions and report rectification measures</w:t>
            </w:r>
          </w:p>
        </w:tc>
      </w:tr>
    </w:tbl>
    <w:p w:rsidR="00F84B9B" w:rsidP="009977DE">
      <w:pPr>
        <w:pStyle w:val="NoPaddingFontSize1"/>
      </w:pPr>
    </w:p>
    <w:p w:rsidR="00F84B9B" w:rsidP="009977DE">
      <w:pPr>
        <w:pStyle w:val="NoPaddingFontSize1"/>
      </w:pPr>
    </w:p>
    <w:p w:rsidR="00000000" w:rsidRPr="009977DE" w:rsidP="009977DE">
      <w:pPr>
        <w:pStyle w:val="Heading1"/>
      </w:pPr>
      <w:bookmarkStart w:id="7" w:name="O_1122664"/>
      <w:bookmarkEnd w:id="7"/>
      <w:r w:rsidRPr="009977DE">
        <w:t>Foundation Skills</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Foundation skills essential to performance are explicit in the performance criteria of this unit of competency.</w:t>
            </w:r>
          </w:p>
        </w:tc>
      </w:tr>
    </w:tbl>
    <w:p w:rsidR="00F84B9B" w:rsidP="009977DE">
      <w:pPr>
        <w:pStyle w:val="NoPaddingFontSize1"/>
      </w:pPr>
    </w:p>
    <w:p w:rsidR="00F84B9B" w:rsidP="009977DE">
      <w:pPr>
        <w:pStyle w:val="NoPaddingFontSize1"/>
      </w:pPr>
    </w:p>
    <w:p w:rsidR="00000000" w:rsidRPr="009977DE" w:rsidP="009977DE">
      <w:pPr>
        <w:pStyle w:val="Heading1"/>
      </w:pPr>
      <w:bookmarkStart w:id="8" w:name="O_1122665"/>
      <w:bookmarkEnd w:id="8"/>
      <w:r w:rsidRPr="009977DE">
        <w:t>Range of Conditions</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Range is restricted to essential operating conditions and any other variables essential to the work environment.</w:t>
            </w:r>
          </w:p>
          <w:p w:rsidR="00000000" w:rsidRPr="009977DE" w:rsidP="009977DE">
            <w:pPr>
              <w:pStyle w:val="BodyText"/>
            </w:pPr>
            <w:r w:rsidRPr="009977DE">
              <w:t>Non-essential conditions may be found in the Companion Volume Implementation Guide.</w:t>
            </w:r>
          </w:p>
        </w:tc>
      </w:tr>
    </w:tbl>
    <w:p w:rsidR="00F84B9B" w:rsidP="009977DE">
      <w:pPr>
        <w:pStyle w:val="NoPaddingFontSize1"/>
      </w:pPr>
    </w:p>
    <w:p w:rsidR="00F84B9B" w:rsidP="009977DE">
      <w:pPr>
        <w:pStyle w:val="NoPaddingFontSize1"/>
      </w:pPr>
    </w:p>
    <w:p w:rsidR="00000000" w:rsidRPr="009977DE" w:rsidP="009977DE">
      <w:pPr>
        <w:pStyle w:val="Heading1"/>
      </w:pPr>
      <w:bookmarkStart w:id="9" w:name="O_1122666"/>
      <w:bookmarkEnd w:id="9"/>
      <w:r w:rsidRPr="009977DE">
        <w:t>Unit Mapping Information</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This unit re</w:t>
            </w:r>
            <w:r w:rsidRPr="009977DE">
              <w:t>places and is equivalent to NWPTRD012 Investigate, rectify and report on trade waste incidents.</w:t>
            </w:r>
          </w:p>
        </w:tc>
      </w:tr>
    </w:tbl>
    <w:p w:rsidR="00F84B9B" w:rsidP="009977DE">
      <w:pPr>
        <w:pStyle w:val="NoPaddingFontSize1"/>
      </w:pPr>
    </w:p>
    <w:p w:rsidR="00F84B9B" w:rsidP="009977DE">
      <w:pPr>
        <w:pStyle w:val="NoPaddingFontSize1"/>
      </w:pPr>
    </w:p>
    <w:p w:rsidR="00000000" w:rsidRPr="009977DE" w:rsidP="009977DE">
      <w:pPr>
        <w:pStyle w:val="Heading1"/>
      </w:pPr>
      <w:bookmarkStart w:id="10" w:name="O_1122673"/>
      <w:bookmarkEnd w:id="10"/>
      <w:r w:rsidRPr="009977DE">
        <w:t>Links</w:t>
      </w:r>
    </w:p>
    <w:p w:rsidR="00000000" w:rsidRPr="009977DE" w:rsidP="00F84B9B">
      <w:pPr>
        <w:pStyle w:val="BodyText"/>
      </w:pPr>
      <w:r w:rsidRPr="009977D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13AF4">
        <w:rPr>
          <w:rStyle w:val="Hyperlink"/>
        </w:rPr>
        <w:t>https://vetnet.gov.au/Pages/TrainingDocs.aspx?q=26336bc0-04e5-49d9-8c31-46c49b6a0037</w:t>
      </w:r>
      <w:r>
        <w:fldChar w:fldCharType="end"/>
      </w:r>
    </w:p>
    <w:p w:rsidR="00000000" w:rsidRPr="009977DE" w:rsidP="00F84B9B">
      <w:pPr>
        <w:pStyle w:val="BodyText"/>
        <w:sectPr w:rsidSect="009977DE">
          <w:headerReference w:type="default" r:id="rId10"/>
          <w:footerReference w:type="default" r:id="rId11"/>
          <w:pgSz w:w="11908" w:h="16833"/>
          <w:pgMar w:top="1702" w:right="1418" w:bottom="1702" w:left="1418" w:header="992" w:footer="992" w:gutter="0"/>
          <w:cols w:space="720"/>
          <w:noEndnote/>
          <w:docGrid w:linePitch="299"/>
        </w:sectPr>
      </w:pPr>
    </w:p>
    <w:p w:rsidR="00000000" w:rsidRPr="009977DE" w:rsidP="009977DE">
      <w:pPr>
        <w:pStyle w:val="SuperHeading"/>
      </w:pPr>
      <w:r w:rsidRPr="009977DE">
        <w:t>Assessment Requirements for NWPTRD006 Investigate trade waste incidents and non-compliances</w:t>
      </w:r>
    </w:p>
    <w:p w:rsidR="00000000" w:rsidRPr="009977DE" w:rsidP="009977DE">
      <w:pPr>
        <w:pStyle w:val="Heading1"/>
      </w:pPr>
      <w:bookmarkStart w:id="11" w:name="O_1122668"/>
      <w:bookmarkEnd w:id="11"/>
      <w:r w:rsidRPr="009977DE">
        <w:t>Modification History</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Release 1. This is the first release of this unit of competency in the NWP National Water Training Package.</w:t>
            </w:r>
          </w:p>
        </w:tc>
      </w:tr>
    </w:tbl>
    <w:p w:rsidR="00F84B9B" w:rsidP="009977DE">
      <w:pPr>
        <w:pStyle w:val="NoPaddingFontSize1"/>
      </w:pPr>
    </w:p>
    <w:p w:rsidR="00F84B9B" w:rsidP="009977DE">
      <w:pPr>
        <w:pStyle w:val="NoPaddingFontSize1"/>
      </w:pPr>
    </w:p>
    <w:p w:rsidR="00000000" w:rsidRPr="009977DE" w:rsidP="009977DE">
      <w:pPr>
        <w:pStyle w:val="Heading1"/>
      </w:pPr>
      <w:bookmarkStart w:id="12" w:name="O_1122669"/>
      <w:bookmarkEnd w:id="12"/>
      <w:r w:rsidRPr="009977DE">
        <w:t>Performance Evidence</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Evidence required to demonstrate competence in this unit must be relevant to and satisfy all the requirements of the elements and performance criteria on at least one occasion and includes:</w:t>
            </w:r>
          </w:p>
        </w:tc>
      </w:tr>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ListBullet"/>
            </w:pPr>
            <w:r w:rsidRPr="009977DE">
              <w:t>assessing environmental impact against appropriate industry stan</w:t>
            </w:r>
            <w:r w:rsidRPr="009977DE">
              <w:t>dards</w:t>
            </w:r>
          </w:p>
          <w:p w:rsidR="00000000" w:rsidRPr="009977DE" w:rsidP="009977DE">
            <w:pPr>
              <w:pStyle w:val="ListBullet"/>
            </w:pPr>
            <w:r w:rsidRPr="009977DE">
              <w:t>assessing the type and extent of incident impact</w:t>
            </w:r>
          </w:p>
          <w:p w:rsidR="00000000" w:rsidRPr="009977DE" w:rsidP="009977DE">
            <w:pPr>
              <w:pStyle w:val="ListBullet"/>
            </w:pPr>
            <w:r w:rsidRPr="009977DE">
              <w:t>assessing wastewater treatment methods, processes, plant and equipment</w:t>
            </w:r>
          </w:p>
          <w:p w:rsidR="00000000" w:rsidRPr="009977DE" w:rsidP="009977DE">
            <w:pPr>
              <w:pStyle w:val="ListBullet"/>
            </w:pPr>
            <w:r w:rsidRPr="009977DE">
              <w:t>completing incident reports for prosecutions</w:t>
            </w:r>
          </w:p>
          <w:p w:rsidR="00000000" w:rsidRPr="009977DE" w:rsidP="009977DE">
            <w:pPr>
              <w:pStyle w:val="ListBullet"/>
            </w:pPr>
            <w:r w:rsidRPr="009977DE">
              <w:t>developing monitoring plans and coordinating measuring, testing and sampling activities</w:t>
            </w:r>
          </w:p>
          <w:p w:rsidR="00000000" w:rsidRPr="009977DE" w:rsidP="009977DE">
            <w:pPr>
              <w:pStyle w:val="ListBullet"/>
            </w:pPr>
            <w:r w:rsidRPr="009977DE">
              <w:t>evaluating process and wastewater system inputs and outputs</w:t>
            </w:r>
          </w:p>
          <w:p w:rsidR="00000000" w:rsidRPr="009977DE" w:rsidP="009977DE">
            <w:pPr>
              <w:pStyle w:val="ListBullet"/>
            </w:pPr>
            <w:r w:rsidRPr="009977DE">
              <w:t>identifying and analysing incident locations</w:t>
            </w:r>
          </w:p>
          <w:p w:rsidR="00000000" w:rsidRPr="009977DE" w:rsidP="009977DE">
            <w:pPr>
              <w:pStyle w:val="ListBullet"/>
            </w:pPr>
            <w:r w:rsidRPr="009977DE">
              <w:t>identifying and evaluating trade waste producing processes</w:t>
            </w:r>
          </w:p>
          <w:p w:rsidR="00000000" w:rsidRPr="009977DE" w:rsidP="009977DE">
            <w:pPr>
              <w:pStyle w:val="ListBullet"/>
            </w:pPr>
            <w:r w:rsidRPr="009977DE">
              <w:t>iden</w:t>
            </w:r>
            <w:r w:rsidRPr="009977DE">
              <w:t>tifying and selecting appropriate corrective measures</w:t>
            </w:r>
          </w:p>
          <w:p w:rsidR="00000000" w:rsidRPr="009977DE" w:rsidP="009977DE">
            <w:pPr>
              <w:pStyle w:val="ListBullet"/>
            </w:pPr>
            <w:r w:rsidRPr="009977DE">
              <w:t>identifying, confirming and analysing sources of trade waste catchment incidents</w:t>
            </w:r>
          </w:p>
          <w:p w:rsidR="00000000" w:rsidRPr="009977DE" w:rsidP="009977DE">
            <w:pPr>
              <w:pStyle w:val="ListBullet"/>
            </w:pPr>
            <w:r w:rsidRPr="009977DE">
              <w:t>interpreting and applying legislation and policies applicable to trade waste</w:t>
            </w:r>
          </w:p>
          <w:p w:rsidR="00000000" w:rsidRPr="009977DE" w:rsidP="009977DE">
            <w:pPr>
              <w:pStyle w:val="ListBullet"/>
            </w:pPr>
            <w:r w:rsidRPr="009977DE">
              <w:t xml:space="preserve">interpreting and evaluating sample analysis </w:t>
            </w:r>
            <w:r w:rsidRPr="009977DE">
              <w:t>data</w:t>
            </w:r>
          </w:p>
          <w:p w:rsidR="00000000" w:rsidRPr="009977DE" w:rsidP="009977DE">
            <w:pPr>
              <w:pStyle w:val="ListBullet"/>
            </w:pPr>
            <w:r w:rsidRPr="009977DE">
              <w:t>interpreting and reviewing hydraulic and site plans</w:t>
            </w:r>
          </w:p>
          <w:p w:rsidR="00000000" w:rsidRPr="009977DE" w:rsidP="009977DE">
            <w:pPr>
              <w:pStyle w:val="ListBullet"/>
            </w:pPr>
            <w:r w:rsidRPr="009977DE">
              <w:t>investigating possible sources and identifying the instigators of the incidents</w:t>
            </w:r>
          </w:p>
          <w:p w:rsidR="00000000" w:rsidRPr="009977DE" w:rsidP="009977DE">
            <w:pPr>
              <w:pStyle w:val="ListBullet"/>
            </w:pPr>
            <w:r w:rsidRPr="009977DE">
              <w:t>investigating the instigating organisations and negotiating rectification measures</w:t>
            </w:r>
          </w:p>
          <w:p w:rsidR="00000000" w:rsidRPr="009977DE" w:rsidP="009977DE">
            <w:pPr>
              <w:pStyle w:val="ListBullet"/>
            </w:pPr>
            <w:r w:rsidRPr="009977DE">
              <w:t>planning and conducting investigatio</w:t>
            </w:r>
            <w:r w:rsidRPr="009977DE">
              <w:t>ns</w:t>
            </w:r>
          </w:p>
          <w:p w:rsidR="00000000" w:rsidRPr="009977DE" w:rsidP="009977DE">
            <w:pPr>
              <w:pStyle w:val="ListBullet"/>
            </w:pPr>
            <w:r w:rsidRPr="009977DE">
              <w:t>using wastewater sampling and preservation techniques for onsite and laboratory testing</w:t>
            </w:r>
          </w:p>
        </w:tc>
      </w:tr>
    </w:tbl>
    <w:p w:rsidR="00000000" w:rsidRPr="009977DE" w:rsidP="009977DE">
      <w:pPr>
        <w:pStyle w:val="NoPaddingFontSize1"/>
      </w:pPr>
    </w:p>
    <w:p w:rsidR="00000000" w:rsidRPr="009977DE" w:rsidP="009977DE">
      <w:pPr>
        <w:pStyle w:val="AllowPageBreak"/>
      </w:pPr>
    </w:p>
    <w:p w:rsidR="00000000" w:rsidRPr="009977DE" w:rsidP="009977DE">
      <w:pPr>
        <w:pStyle w:val="Heading1"/>
      </w:pPr>
      <w:bookmarkStart w:id="13" w:name="O_1122670"/>
      <w:bookmarkEnd w:id="13"/>
      <w:r w:rsidRPr="009977DE">
        <w:t>Knowledge Evidence</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77DE">
            <w:pPr>
              <w:pStyle w:val="BodyText"/>
              <w:rPr>
                <w:lang w:val="en-NZ"/>
              </w:rPr>
            </w:pPr>
            <w:r w:rsidRPr="009977DE">
              <w:t>Evidence required to demonstrate competence in this unit must be relevant to and satisfy all the requirements of the elements and performance criteria and include knowledge of:</w:t>
            </w:r>
          </w:p>
        </w:tc>
      </w:tr>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ListBullet"/>
            </w:pPr>
            <w:r w:rsidRPr="009977DE">
              <w:t>approval holder expectations and requirements</w:t>
            </w:r>
          </w:p>
          <w:p w:rsidR="00000000" w:rsidRPr="009977DE" w:rsidP="009977DE">
            <w:pPr>
              <w:pStyle w:val="ListBullet"/>
            </w:pPr>
            <w:r w:rsidRPr="009977DE">
              <w:t>corrective measures relevant to</w:t>
            </w:r>
            <w:r w:rsidRPr="009977DE">
              <w:t xml:space="preserve"> approval holder base and associated risk</w:t>
            </w:r>
          </w:p>
          <w:p w:rsidR="00000000" w:rsidRPr="009977DE" w:rsidP="009977DE">
            <w:pPr>
              <w:pStyle w:val="ListBullet"/>
            </w:pPr>
            <w:r w:rsidRPr="009977DE">
              <w:t>data records and report writing procedures</w:t>
            </w:r>
          </w:p>
          <w:p w:rsidR="00000000" w:rsidRPr="009977DE" w:rsidP="009977DE">
            <w:pPr>
              <w:pStyle w:val="ListBullet"/>
            </w:pPr>
            <w:r w:rsidRPr="009977DE">
              <w:t>impact and interaction of pollutants and toxins</w:t>
            </w:r>
          </w:p>
          <w:p w:rsidR="00000000" w:rsidRPr="009977DE" w:rsidP="009977DE">
            <w:pPr>
              <w:pStyle w:val="ListBullet"/>
            </w:pPr>
            <w:r w:rsidRPr="009977DE">
              <w:t>investigation procedures and techniques</w:t>
            </w:r>
          </w:p>
          <w:p w:rsidR="00000000" w:rsidRPr="009977DE" w:rsidP="009977DE">
            <w:pPr>
              <w:pStyle w:val="ListBullet"/>
            </w:pPr>
            <w:r w:rsidRPr="009977DE">
              <w:t>personal protection and safety precautions for wastewater sampling including requir</w:t>
            </w:r>
            <w:r w:rsidRPr="009977DE">
              <w:t>ements for relevant inoculations</w:t>
            </w:r>
          </w:p>
          <w:p w:rsidR="00000000" w:rsidRPr="009977DE" w:rsidP="009977DE">
            <w:pPr>
              <w:pStyle w:val="ListBullet"/>
            </w:pPr>
            <w:r w:rsidRPr="009977DE">
              <w:t>range of appropriate measuring, testing and sampling procedures</w:t>
            </w:r>
          </w:p>
          <w:p w:rsidR="00000000" w:rsidRPr="009977DE" w:rsidP="009977DE">
            <w:pPr>
              <w:pStyle w:val="ListBullet"/>
            </w:pPr>
            <w:r w:rsidRPr="009977DE">
              <w:t>relevant enterprise policies for trade waste management</w:t>
            </w:r>
          </w:p>
          <w:p w:rsidR="00000000" w:rsidRPr="009977DE" w:rsidP="009977DE">
            <w:pPr>
              <w:pStyle w:val="ListBullet"/>
            </w:pPr>
            <w:r w:rsidRPr="009977DE">
              <w:t>relevant legislation, industry standards and codes of practice</w:t>
            </w:r>
          </w:p>
          <w:p w:rsidR="00000000" w:rsidRPr="009977DE" w:rsidP="009977DE">
            <w:pPr>
              <w:pStyle w:val="ListBullet"/>
            </w:pPr>
            <w:r w:rsidRPr="009977DE">
              <w:t>trade waste treatment methods and processes</w:t>
            </w:r>
          </w:p>
          <w:p w:rsidR="00000000" w:rsidRPr="009977DE" w:rsidP="009977DE">
            <w:pPr>
              <w:pStyle w:val="ListBullet"/>
            </w:pPr>
            <w:r w:rsidRPr="009977DE">
              <w:t>water quality parameters of significance to the wastewater system</w:t>
            </w:r>
          </w:p>
          <w:p w:rsidR="00000000" w:rsidRPr="009977DE" w:rsidP="009977DE">
            <w:pPr>
              <w:pStyle w:val="ListBullet"/>
            </w:pPr>
            <w:r w:rsidRPr="009977DE">
              <w:t>work health and safety legislation and requirements</w:t>
            </w:r>
          </w:p>
        </w:tc>
      </w:tr>
    </w:tbl>
    <w:p w:rsidR="00000000" w:rsidRPr="009977DE" w:rsidP="009977DE">
      <w:pPr>
        <w:pStyle w:val="NoPaddingFontSize1"/>
      </w:pPr>
    </w:p>
    <w:p w:rsidR="00000000" w:rsidRPr="009977DE" w:rsidP="009977DE">
      <w:pPr>
        <w:pStyle w:val="AllowPageBreak"/>
      </w:pPr>
    </w:p>
    <w:p w:rsidR="00000000" w:rsidRPr="009977DE" w:rsidP="009977DE">
      <w:pPr>
        <w:pStyle w:val="Heading1"/>
      </w:pPr>
      <w:bookmarkStart w:id="14" w:name="O_1122671"/>
      <w:bookmarkEnd w:id="14"/>
      <w:r w:rsidRPr="009977DE">
        <w:t>Assessment Conditions</w:t>
      </w:r>
    </w:p>
    <w:tbl>
      <w:tblPr>
        <w:tblW w:w="9497" w:type="dxa"/>
        <w:tblLayout w:type="fixed"/>
        <w:tblCellMar>
          <w:left w:w="62" w:type="dxa"/>
          <w:right w:w="62" w:type="dxa"/>
        </w:tblCellMar>
        <w:tblLook w:val="0000"/>
      </w:tblPr>
      <w:tblGrid>
        <w:gridCol w:w="9497"/>
      </w:tblGrid>
      <w:tr w:rsidTr="009977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7DE" w:rsidP="009977DE">
            <w:pPr>
              <w:pStyle w:val="BodyText"/>
            </w:pPr>
            <w:r w:rsidRPr="009977DE">
              <w:t>Assessors must hold credentials specified within th</w:t>
            </w:r>
            <w:r w:rsidRPr="009977DE">
              <w:t xml:space="preserve">e Standards for Registered Training Organisations current at the time of assessment. </w:t>
            </w:r>
          </w:p>
          <w:p w:rsidR="00000000" w:rsidRPr="009977DE" w:rsidP="009977DE">
            <w:pPr>
              <w:pStyle w:val="BodyText"/>
            </w:pPr>
            <w:r w:rsidRPr="009977DE">
              <w:t>Assessment must satisfy the Principles of Assessment and Rules of Evidence and all regulatory requirements included within the Standards for Registered Training Organisat</w:t>
            </w:r>
            <w:r w:rsidRPr="009977DE">
              <w:t>ions current at the time of assessment.</w:t>
            </w:r>
          </w:p>
          <w:p w:rsidR="00000000" w:rsidRPr="009977DE" w:rsidP="009977DE">
            <w:pPr>
              <w:pStyle w:val="BodyText"/>
            </w:pPr>
            <w:r w:rsidRPr="009977DE">
              <w:t xml:space="preserve">Assessment must occur in workplace operational situations where it is appropriate to do so; where this is not appropriate, assessment must occur in simulated workplace operational situations that replicate workplace </w:t>
            </w:r>
            <w:r w:rsidRPr="009977DE">
              <w:t>conditions.</w:t>
            </w:r>
          </w:p>
          <w:p w:rsidR="00000000" w:rsidRPr="009977DE" w:rsidP="009977DE">
            <w:pPr>
              <w:pStyle w:val="BodyText"/>
            </w:pPr>
            <w:r w:rsidRPr="009977DE">
              <w:t>Assessment processes and techniques must be appropriate to the language, literacy and numeracy requirements of the work being performed and the needs of the candidate.</w:t>
            </w:r>
          </w:p>
          <w:p w:rsidR="00000000" w:rsidRPr="009977DE" w:rsidP="009977DE">
            <w:pPr>
              <w:pStyle w:val="BodyText"/>
            </w:pPr>
            <w:r w:rsidRPr="009977DE">
              <w:t>Resources for assessment must include access to:</w:t>
            </w:r>
          </w:p>
          <w:p w:rsidR="00000000" w:rsidRPr="009977DE" w:rsidP="009977DE">
            <w:pPr>
              <w:pStyle w:val="ListBullet"/>
            </w:pPr>
            <w:r w:rsidRPr="009977DE">
              <w:t>relevant and appropriate m</w:t>
            </w:r>
            <w:r w:rsidRPr="009977DE">
              <w:t>aterials, tools, equipment and personal protective equipment currently used in industry</w:t>
            </w:r>
          </w:p>
          <w:p w:rsidR="00000000" w:rsidRPr="009977DE" w:rsidP="009977DE">
            <w:pPr>
              <w:pStyle w:val="ListBullet"/>
            </w:pPr>
            <w:r w:rsidRPr="009977DE">
              <w:t>applicable documentation including legislation, regulations, codes of practice, workplace procedures and operation manuals.</w:t>
            </w:r>
          </w:p>
        </w:tc>
      </w:tr>
    </w:tbl>
    <w:p w:rsidR="00000000" w:rsidRPr="009977DE" w:rsidP="009977DE">
      <w:pPr>
        <w:pStyle w:val="NoPaddingFontSize1"/>
      </w:pPr>
    </w:p>
    <w:p w:rsidR="00000000" w:rsidRPr="009977DE" w:rsidP="009977DE">
      <w:pPr>
        <w:pStyle w:val="AllowPageBreak"/>
      </w:pPr>
    </w:p>
    <w:p w:rsidR="00000000" w:rsidRPr="009977DE" w:rsidP="009977DE">
      <w:pPr>
        <w:pStyle w:val="Heading1"/>
      </w:pPr>
      <w:bookmarkStart w:id="15" w:name="O_1122674"/>
      <w:bookmarkEnd w:id="15"/>
      <w:r w:rsidRPr="009977DE">
        <w:t>Links</w:t>
      </w:r>
    </w:p>
    <w:p w:rsidR="00000000" w:rsidRPr="009977DE" w:rsidP="00F84B9B">
      <w:pPr>
        <w:pStyle w:val="BodyText"/>
      </w:pPr>
      <w:r w:rsidRPr="009977D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13AF4">
        <w:rPr>
          <w:rStyle w:val="Hyperlink"/>
        </w:rPr>
        <w:t>https://vetnet.gov.au/Pages/TrainingDocs.aspx?q=26336bc0-04e5-49d9-8c31-46c49b6a0037</w:t>
      </w:r>
      <w:r>
        <w:fldChar w:fldCharType="end"/>
      </w:r>
    </w:p>
    <w:p w:rsidR="00000000" w:rsidRPr="009977DE" w:rsidP="009977DE"/>
    <w:sectPr w:rsidSect="009977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B" w:rsidP="00997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4B9B" w:rsidP="009977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84B9B" w:rsidP="009977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DE" w:rsidP="009977DE">
    <w:pPr>
      <w:pStyle w:val="Footer"/>
      <w:framePr w:wrap="around"/>
    </w:pPr>
    <w:r>
      <w:fldChar w:fldCharType="begin"/>
    </w:r>
    <w:r>
      <w:instrText xml:space="preserve"> DOCPROPERTY  Subject  \* MERGEFORMAT </w:instrText>
    </w:r>
    <w:r>
      <w:fldChar w:fldCharType="separate"/>
    </w:r>
    <w:r w:rsidR="00F84B9B">
      <w:t>Approved</w:t>
    </w:r>
    <w:r w:rsidR="00F84B9B">
      <w:fldChar w:fldCharType="end"/>
    </w:r>
    <w:r>
      <w:tab/>
      <w:t xml:space="preserve">Page </w:t>
    </w:r>
    <w:r>
      <w:fldChar w:fldCharType="begin"/>
    </w:r>
    <w:r>
      <w:instrText xml:space="preserve"> PAGE  \* Arabic  \* MERGEFORMAT </w:instrText>
    </w:r>
    <w:r>
      <w:fldChar w:fldCharType="separate"/>
    </w:r>
    <w:r w:rsidR="00F84B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4B9B">
      <w:rPr>
        <w:noProof/>
      </w:rPr>
      <w:t>4</w:t>
    </w:r>
    <w:r>
      <w:rPr>
        <w:noProof/>
      </w:rPr>
      <w:fldChar w:fldCharType="end"/>
    </w:r>
  </w:p>
  <w:p w:rsidR="009977DE" w:rsidP="009977DE">
    <w:pPr>
      <w:pStyle w:val="Footer"/>
      <w:framePr w:wrap="around"/>
    </w:pPr>
    <w:r>
      <w:t xml:space="preserve">© Commonwealth of Australia, </w:t>
    </w:r>
    <w:r>
      <w:fldChar w:fldCharType="begin"/>
    </w:r>
    <w:r>
      <w:instrText xml:space="preserve"> DATE  \@ "yyyy"  \* MERGEFORMAT </w:instrText>
    </w:r>
    <w:r>
      <w:fldChar w:fldCharType="separate"/>
    </w:r>
    <w:r w:rsidR="00F84B9B">
      <w:rPr>
        <w:noProof/>
      </w:rPr>
      <w:t>2025</w:t>
    </w:r>
    <w:r>
      <w:fldChar w:fldCharType="end"/>
    </w:r>
    <w:r>
      <w:tab/>
    </w:r>
    <w:r>
      <w:fldChar w:fldCharType="begin"/>
    </w:r>
    <w:r>
      <w:instrText xml:space="preserve"> DOCPROPERTY  Author  \* MERGEFORMAT </w:instrText>
    </w:r>
    <w:r>
      <w:fldChar w:fldCharType="separate"/>
    </w:r>
    <w:r w:rsidR="00F84B9B">
      <w:t>BuildSkills Australia</w:t>
    </w:r>
    <w:r w:rsidR="00F84B9B">
      <w:fldChar w:fldCharType="end"/>
    </w:r>
  </w:p>
  <w:p w:rsidR="009977DE" w:rsidP="00997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7DE" w:rsidRPr="00F84B9B" w:rsidP="00F84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9B" w:rsidRPr="002D2AF8" w:rsidP="009977DE">
    <w:pPr>
      <w:pStyle w:val="Header"/>
      <w:framePr w:wrap="around"/>
    </w:pPr>
    <w:r>
      <w:fldChar w:fldCharType="begin"/>
    </w:r>
    <w:r>
      <w:instrText xml:space="preserve"> TITLE   \* MERGEFORMAT </w:instrText>
    </w:r>
    <w:r>
      <w:fldChar w:fldCharType="separate"/>
    </w:r>
    <w:r>
      <w:t>NWPTRD006 Investigate trade waste incidents and non-compliances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4B9B" w:rsidP="009977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DE" w:rsidRPr="002D2AF8" w:rsidP="009977DE">
    <w:pPr>
      <w:pStyle w:val="Header"/>
      <w:framePr w:wrap="around"/>
    </w:pPr>
    <w:r>
      <w:fldChar w:fldCharType="begin"/>
    </w:r>
    <w:r>
      <w:instrText xml:space="preserve"> TITLE   \* MERGEFORMAT </w:instrText>
    </w:r>
    <w:r>
      <w:fldChar w:fldCharType="separate"/>
    </w:r>
    <w:r w:rsidR="00F84B9B">
      <w:t>NWPTRD006 Investigate trade waste incidents and non-compliances</w:t>
    </w:r>
    <w:r w:rsidR="00F84B9B">
      <w:fldChar w:fldCharType="end"/>
    </w:r>
    <w:r>
      <w:tab/>
      <w:t xml:space="preserve">Date this document was generated: </w:t>
    </w:r>
    <w:r>
      <w:fldChar w:fldCharType="begin"/>
    </w:r>
    <w:r>
      <w:instrText xml:space="preserve"> CREATEDATE  \@ "d MMMM yyyy"  \* MERGEFORMAT </w:instrText>
    </w:r>
    <w:r>
      <w:fldChar w:fldCharType="separate"/>
    </w:r>
    <w:r w:rsidR="00F84B9B">
      <w:rPr>
        <w:noProof/>
      </w:rPr>
      <w:t>2 March 2025</w:t>
    </w:r>
    <w:r>
      <w:fldChar w:fldCharType="end"/>
    </w:r>
  </w:p>
  <w:p w:rsidR="009977DE" w:rsidP="00997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4E0C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CCAF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7DE"/>
    <w:pPr>
      <w:spacing w:before="360" w:after="60"/>
      <w:outlineLvl w:val="0"/>
    </w:pPr>
    <w:rPr>
      <w:sz w:val="32"/>
    </w:rPr>
  </w:style>
  <w:style w:type="paragraph" w:styleId="Heading2">
    <w:name w:val="heading 2"/>
    <w:basedOn w:val="HeadingBase"/>
    <w:next w:val="BodyText"/>
    <w:link w:val="Heading2Char"/>
    <w:qFormat/>
    <w:rsid w:val="009977DE"/>
    <w:pPr>
      <w:keepLines/>
      <w:spacing w:before="240" w:after="120"/>
      <w:outlineLvl w:val="1"/>
    </w:pPr>
    <w:rPr>
      <w:sz w:val="28"/>
      <w:szCs w:val="40"/>
    </w:rPr>
  </w:style>
  <w:style w:type="paragraph" w:styleId="Heading3">
    <w:name w:val="heading 3"/>
    <w:basedOn w:val="HeadingBase"/>
    <w:next w:val="BodyText"/>
    <w:link w:val="Heading3Char"/>
    <w:qFormat/>
    <w:rsid w:val="009977DE"/>
    <w:pPr>
      <w:spacing w:before="180" w:after="120"/>
      <w:outlineLvl w:val="2"/>
    </w:pPr>
    <w:rPr>
      <w:spacing w:val="-10"/>
      <w:kern w:val="32"/>
    </w:rPr>
  </w:style>
  <w:style w:type="paragraph" w:styleId="Heading4">
    <w:name w:val="heading 4"/>
    <w:basedOn w:val="HeadingBase"/>
    <w:next w:val="BodyText"/>
    <w:link w:val="Heading4Char"/>
    <w:qFormat/>
    <w:rsid w:val="009977DE"/>
    <w:pPr>
      <w:spacing w:before="160" w:after="120"/>
      <w:outlineLvl w:val="3"/>
    </w:pPr>
    <w:rPr>
      <w:sz w:val="22"/>
    </w:rPr>
  </w:style>
  <w:style w:type="paragraph" w:styleId="Heading5">
    <w:name w:val="heading 5"/>
    <w:basedOn w:val="HeadingBase"/>
    <w:next w:val="Normal"/>
    <w:link w:val="Heading5Char"/>
    <w:qFormat/>
    <w:rsid w:val="009977DE"/>
    <w:pPr>
      <w:spacing w:before="80"/>
      <w:outlineLvl w:val="4"/>
    </w:pPr>
    <w:rPr>
      <w:color w:val="918585"/>
      <w:sz w:val="20"/>
    </w:rPr>
  </w:style>
  <w:style w:type="paragraph" w:styleId="Heading6">
    <w:name w:val="heading 6"/>
    <w:basedOn w:val="HeadingBase"/>
    <w:next w:val="Normal"/>
    <w:link w:val="Heading6Char"/>
    <w:qFormat/>
    <w:rsid w:val="009977DE"/>
    <w:pPr>
      <w:spacing w:before="60"/>
      <w:outlineLvl w:val="5"/>
    </w:pPr>
    <w:rPr>
      <w:color w:val="918585"/>
      <w:sz w:val="20"/>
    </w:rPr>
  </w:style>
  <w:style w:type="paragraph" w:styleId="Heading7">
    <w:name w:val="heading 7"/>
    <w:basedOn w:val="Normal"/>
    <w:next w:val="Normal"/>
    <w:link w:val="Heading7Char"/>
    <w:qFormat/>
    <w:rsid w:val="009977DE"/>
    <w:pPr>
      <w:ind w:left="720"/>
      <w:outlineLvl w:val="6"/>
    </w:pPr>
    <w:rPr>
      <w:i/>
    </w:rPr>
  </w:style>
  <w:style w:type="paragraph" w:styleId="Heading8">
    <w:name w:val="heading 8"/>
    <w:basedOn w:val="Normal"/>
    <w:next w:val="Normal"/>
    <w:link w:val="Heading8Char"/>
    <w:qFormat/>
    <w:rsid w:val="009977DE"/>
    <w:pPr>
      <w:ind w:left="720"/>
      <w:outlineLvl w:val="7"/>
    </w:pPr>
    <w:rPr>
      <w:i/>
    </w:rPr>
  </w:style>
  <w:style w:type="paragraph" w:styleId="Heading9">
    <w:name w:val="heading 9"/>
    <w:basedOn w:val="Normal"/>
    <w:next w:val="Normal"/>
    <w:link w:val="Heading9Char"/>
    <w:qFormat/>
    <w:rsid w:val="009977DE"/>
    <w:pPr>
      <w:ind w:left="720"/>
      <w:outlineLvl w:val="8"/>
    </w:pPr>
    <w:rPr>
      <w:i/>
    </w:rPr>
  </w:style>
  <w:style w:type="character" w:default="1" w:styleId="DefaultParagraphFont">
    <w:name w:val="Default Paragraph Font"/>
    <w:uiPriority w:val="1"/>
    <w:unhideWhenUsed/>
    <w:rsid w:val="00997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7DE"/>
  </w:style>
  <w:style w:type="character" w:customStyle="1" w:styleId="Heading1Char">
    <w:name w:val="Heading 1 Char"/>
    <w:basedOn w:val="DefaultParagraphFont"/>
    <w:link w:val="Heading1"/>
    <w:rsid w:val="009977DE"/>
    <w:rPr>
      <w:rFonts w:ascii="Times New Roman" w:eastAsia="Times New Roman" w:hAnsi="Times New Roman" w:cs="Times New Roman"/>
      <w:b/>
      <w:sz w:val="32"/>
      <w:szCs w:val="20"/>
      <w:lang w:eastAsia="en-US"/>
    </w:rPr>
  </w:style>
  <w:style w:type="paragraph" w:styleId="BodyText">
    <w:name w:val="Body Text"/>
    <w:basedOn w:val="Normal"/>
    <w:link w:val="BodyTextChar"/>
    <w:rsid w:val="009977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7DE"/>
    <w:rPr>
      <w:rFonts w:ascii="Times New Roman" w:eastAsia="Times New Roman" w:hAnsi="Times New Roman" w:cs="Times New Roman"/>
      <w:sz w:val="24"/>
      <w:lang w:eastAsia="en-US"/>
    </w:rPr>
  </w:style>
  <w:style w:type="paragraph" w:styleId="ListBullet">
    <w:name w:val="List Bullet"/>
    <w:basedOn w:val="List"/>
    <w:rsid w:val="009977DE"/>
    <w:pPr>
      <w:numPr>
        <w:numId w:val="11"/>
      </w:numPr>
      <w:tabs>
        <w:tab w:val="clear" w:pos="340"/>
      </w:tabs>
      <w:spacing w:before="40" w:after="40"/>
    </w:pPr>
  </w:style>
  <w:style w:type="character" w:customStyle="1" w:styleId="SpecialBold">
    <w:name w:val="Special Bold"/>
    <w:basedOn w:val="DefaultParagraphFont"/>
    <w:rsid w:val="009977DE"/>
    <w:rPr>
      <w:b/>
      <w:spacing w:val="0"/>
    </w:rPr>
  </w:style>
  <w:style w:type="paragraph" w:customStyle="1" w:styleId="SuperHeading">
    <w:name w:val="SuperHeading"/>
    <w:basedOn w:val="Normal"/>
    <w:rsid w:val="009977DE"/>
    <w:pPr>
      <w:spacing w:before="240" w:after="120"/>
      <w:outlineLvl w:val="0"/>
    </w:pPr>
    <w:rPr>
      <w:rFonts w:ascii="Times New Roman" w:hAnsi="Times New Roman"/>
      <w:b/>
      <w:sz w:val="32"/>
    </w:rPr>
  </w:style>
  <w:style w:type="paragraph" w:customStyle="1" w:styleId="AllowPageBreak">
    <w:name w:val="AllowPageBreak"/>
    <w:rsid w:val="009977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7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7DE"/>
    <w:rPr>
      <w:rFonts w:ascii="Courier New" w:eastAsia="Times New Roman" w:hAnsi="Courier New" w:cs="Times New Roman"/>
      <w:i/>
      <w:szCs w:val="20"/>
      <w:lang w:eastAsia="en-US"/>
    </w:rPr>
  </w:style>
  <w:style w:type="paragraph" w:customStyle="1" w:styleId="HeadingBase">
    <w:name w:val="Heading Base"/>
    <w:rsid w:val="00997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7DE"/>
    <w:pPr>
      <w:tabs>
        <w:tab w:val="right" w:leader="dot" w:pos="9072"/>
      </w:tabs>
      <w:ind w:left="567"/>
    </w:pPr>
    <w:rPr>
      <w:szCs w:val="22"/>
    </w:rPr>
  </w:style>
  <w:style w:type="paragraph" w:customStyle="1" w:styleId="TOCBase">
    <w:name w:val="TOC Base"/>
    <w:rsid w:val="00997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7DE"/>
    <w:pPr>
      <w:tabs>
        <w:tab w:val="right" w:leader="dot" w:pos="9072"/>
      </w:tabs>
      <w:spacing w:before="40" w:after="40"/>
      <w:ind w:left="284"/>
    </w:pPr>
    <w:rPr>
      <w:rFonts w:ascii="Times New Roman" w:hAnsi="Times New Roman"/>
    </w:rPr>
  </w:style>
  <w:style w:type="paragraph" w:styleId="TOC1">
    <w:name w:val="toc 1"/>
    <w:basedOn w:val="TOCBase"/>
    <w:next w:val="Normal"/>
    <w:rsid w:val="00997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7DE"/>
    <w:rPr>
      <w:rFonts w:ascii="Times New Roman" w:eastAsia="Times New Roman" w:hAnsi="Times New Roman" w:cs="Times New Roman"/>
      <w:sz w:val="16"/>
      <w:lang w:eastAsia="en-US"/>
    </w:rPr>
  </w:style>
  <w:style w:type="paragraph" w:styleId="Title">
    <w:name w:val="Title"/>
    <w:basedOn w:val="HeadingBase"/>
    <w:link w:val="TitleChar"/>
    <w:qFormat/>
    <w:rsid w:val="009977DE"/>
    <w:pPr>
      <w:spacing w:before="5040"/>
      <w:jc w:val="center"/>
    </w:pPr>
    <w:rPr>
      <w:sz w:val="48"/>
      <w:szCs w:val="72"/>
      <w:lang w:val="en-US"/>
    </w:rPr>
  </w:style>
  <w:style w:type="character" w:customStyle="1" w:styleId="TitleChar">
    <w:name w:val="Title Char"/>
    <w:basedOn w:val="DefaultParagraphFont"/>
    <w:link w:val="Title"/>
    <w:rsid w:val="00997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7DE"/>
    <w:pPr>
      <w:tabs>
        <w:tab w:val="left" w:pos="3600"/>
        <w:tab w:val="left" w:pos="3958"/>
      </w:tabs>
    </w:pPr>
  </w:style>
  <w:style w:type="paragraph" w:styleId="List">
    <w:name w:val="List"/>
    <w:basedOn w:val="BodyText"/>
    <w:next w:val="BodyText"/>
    <w:rsid w:val="009977DE"/>
    <w:pPr>
      <w:tabs>
        <w:tab w:val="left" w:pos="340"/>
      </w:tabs>
      <w:spacing w:before="60" w:after="60"/>
      <w:ind w:left="340" w:hanging="340"/>
    </w:pPr>
  </w:style>
  <w:style w:type="paragraph" w:customStyle="1" w:styleId="Note">
    <w:name w:val="Note"/>
    <w:basedOn w:val="BodyText"/>
    <w:rsid w:val="00997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7DE"/>
    <w:pPr>
      <w:framePr w:wrap="auto" w:hAnchor="text" w:y="6049"/>
    </w:pPr>
    <w:rPr>
      <w:color w:val="000000"/>
      <w:sz w:val="40"/>
    </w:rPr>
  </w:style>
  <w:style w:type="paragraph" w:customStyle="1" w:styleId="TOCTitle">
    <w:name w:val="TOCTitle"/>
    <w:basedOn w:val="Heading1"/>
    <w:rsid w:val="009977DE"/>
    <w:pPr>
      <w:spacing w:after="240"/>
      <w:jc w:val="center"/>
      <w:outlineLvl w:val="9"/>
    </w:pPr>
    <w:rPr>
      <w:caps/>
    </w:rPr>
  </w:style>
  <w:style w:type="paragraph" w:customStyle="1" w:styleId="Version">
    <w:name w:val="Version"/>
    <w:rsid w:val="009977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7DE"/>
    <w:pPr>
      <w:numPr>
        <w:numId w:val="12"/>
      </w:numPr>
      <w:tabs>
        <w:tab w:val="clear" w:pos="680"/>
      </w:tabs>
    </w:pPr>
  </w:style>
  <w:style w:type="paragraph" w:styleId="Index1">
    <w:name w:val="index 1"/>
    <w:basedOn w:val="Normal"/>
    <w:next w:val="Normal"/>
    <w:semiHidden/>
    <w:rsid w:val="009977DE"/>
    <w:pPr>
      <w:keepNext w:val="0"/>
      <w:tabs>
        <w:tab w:val="right" w:pos="4176"/>
      </w:tabs>
      <w:ind w:left="198" w:hanging="198"/>
    </w:pPr>
    <w:rPr>
      <w:rFonts w:ascii="Garamond" w:hAnsi="Garamond"/>
    </w:rPr>
  </w:style>
  <w:style w:type="paragraph" w:styleId="IndexHeading">
    <w:name w:val="index heading"/>
    <w:basedOn w:val="Normal"/>
    <w:next w:val="Index1"/>
    <w:semiHidden/>
    <w:rsid w:val="009977DE"/>
    <w:pPr>
      <w:spacing w:before="120" w:after="120"/>
    </w:pPr>
    <w:rPr>
      <w:rFonts w:ascii="Arial" w:hAnsi="Arial"/>
      <w:b/>
      <w:color w:val="918585"/>
      <w:sz w:val="24"/>
    </w:rPr>
  </w:style>
  <w:style w:type="paragraph" w:styleId="Header">
    <w:name w:val="header"/>
    <w:basedOn w:val="Normal"/>
    <w:link w:val="HeaderChar"/>
    <w:rsid w:val="00997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7DE"/>
    <w:rPr>
      <w:rFonts w:ascii="Times New Roman" w:eastAsia="Times New Roman" w:hAnsi="Times New Roman" w:cs="Times New Roman"/>
      <w:sz w:val="16"/>
      <w:szCs w:val="20"/>
      <w:lang w:val="en-GB" w:eastAsia="en-US"/>
    </w:rPr>
  </w:style>
  <w:style w:type="paragraph" w:customStyle="1" w:styleId="Chapter">
    <w:name w:val="Chapter"/>
    <w:basedOn w:val="Normal"/>
    <w:rsid w:val="009977DE"/>
    <w:pPr>
      <w:spacing w:before="240"/>
    </w:pPr>
    <w:rPr>
      <w:rFonts w:ascii="Times New Roman" w:hAnsi="Times New Roman"/>
      <w:smallCaps/>
      <w:spacing w:val="80"/>
      <w:sz w:val="28"/>
    </w:rPr>
  </w:style>
  <w:style w:type="paragraph" w:customStyle="1" w:styleId="InChapter">
    <w:name w:val="InChapter"/>
    <w:basedOn w:val="Heading3"/>
    <w:rsid w:val="009977DE"/>
    <w:pPr>
      <w:spacing w:after="240"/>
      <w:outlineLvl w:val="9"/>
    </w:pPr>
    <w:rPr>
      <w:noProof/>
    </w:rPr>
  </w:style>
  <w:style w:type="paragraph" w:styleId="Index2">
    <w:name w:val="index 2"/>
    <w:basedOn w:val="Normal"/>
    <w:next w:val="Normal"/>
    <w:semiHidden/>
    <w:rsid w:val="009977DE"/>
    <w:pPr>
      <w:tabs>
        <w:tab w:val="right" w:pos="4176"/>
      </w:tabs>
      <w:ind w:left="568" w:hanging="284"/>
    </w:pPr>
    <w:rPr>
      <w:rFonts w:ascii="Garamond" w:hAnsi="Garamond"/>
    </w:rPr>
  </w:style>
  <w:style w:type="paragraph" w:customStyle="1" w:styleId="Byline">
    <w:name w:val="Byline"/>
    <w:rsid w:val="00997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7DE"/>
    <w:pPr>
      <w:tabs>
        <w:tab w:val="clear" w:pos="3600"/>
        <w:tab w:val="clear" w:pos="3958"/>
      </w:tabs>
      <w:jc w:val="right"/>
    </w:pPr>
  </w:style>
  <w:style w:type="character" w:styleId="Emphasis">
    <w:name w:val="Emphasis"/>
    <w:basedOn w:val="DefaultParagraphFont"/>
    <w:qFormat/>
    <w:rsid w:val="009977DE"/>
    <w:rPr>
      <w:i/>
    </w:rPr>
  </w:style>
  <w:style w:type="paragraph" w:styleId="Caption">
    <w:name w:val="caption"/>
    <w:basedOn w:val="BodyText"/>
    <w:next w:val="Normal"/>
    <w:qFormat/>
    <w:rsid w:val="009977DE"/>
    <w:pPr>
      <w:framePr w:w="2268" w:hSpace="181" w:vSpace="181" w:wrap="around" w:vAnchor="text" w:hAnchor="page" w:x="1135" w:y="285" w:anchorLock="1"/>
    </w:pPr>
    <w:rPr>
      <w:i/>
    </w:rPr>
  </w:style>
  <w:style w:type="paragraph" w:customStyle="1" w:styleId="MiniTOCTitle">
    <w:name w:val="MiniTOCTitle"/>
    <w:basedOn w:val="Heading4"/>
    <w:rsid w:val="009977DE"/>
    <w:pPr>
      <w:spacing w:before="240"/>
      <w:outlineLvl w:val="9"/>
    </w:pPr>
    <w:rPr>
      <w:noProof/>
      <w:sz w:val="24"/>
    </w:rPr>
  </w:style>
  <w:style w:type="paragraph" w:customStyle="1" w:styleId="MiniTOCItem">
    <w:name w:val="MiniTOCItem"/>
    <w:basedOn w:val="ListBullet"/>
    <w:rsid w:val="009977DE"/>
    <w:pPr>
      <w:numPr>
        <w:numId w:val="0"/>
      </w:numPr>
      <w:tabs>
        <w:tab w:val="right" w:leader="dot" w:pos="6521"/>
      </w:tabs>
      <w:spacing w:before="0" w:after="0"/>
    </w:pPr>
  </w:style>
  <w:style w:type="paragraph" w:customStyle="1" w:styleId="TOFTitle">
    <w:name w:val="TOFTitle"/>
    <w:basedOn w:val="TOCTitle"/>
    <w:rsid w:val="009977DE"/>
  </w:style>
  <w:style w:type="paragraph" w:styleId="TableofFigures">
    <w:name w:val="table of figures"/>
    <w:basedOn w:val="Normal"/>
    <w:next w:val="Normal"/>
    <w:semiHidden/>
    <w:rsid w:val="009977DE"/>
    <w:pPr>
      <w:tabs>
        <w:tab w:val="right" w:leader="dot" w:pos="9072"/>
      </w:tabs>
      <w:ind w:left="970" w:hanging="403"/>
    </w:pPr>
    <w:rPr>
      <w:rFonts w:ascii="Times New Roman" w:hAnsi="Times New Roman"/>
      <w:b/>
    </w:rPr>
  </w:style>
  <w:style w:type="paragraph" w:styleId="ListNumber">
    <w:name w:val="List Number"/>
    <w:basedOn w:val="List"/>
    <w:rsid w:val="009977DE"/>
    <w:pPr>
      <w:numPr>
        <w:numId w:val="14"/>
      </w:numPr>
      <w:tabs>
        <w:tab w:val="clear" w:pos="340"/>
      </w:tabs>
    </w:pPr>
  </w:style>
  <w:style w:type="character" w:customStyle="1" w:styleId="WingdingSymbols">
    <w:name w:val="Wingding Symbols"/>
    <w:rsid w:val="009977DE"/>
    <w:rPr>
      <w:rFonts w:ascii="Wingdings" w:hAnsi="Wingdings"/>
    </w:rPr>
  </w:style>
  <w:style w:type="paragraph" w:customStyle="1" w:styleId="TableHeading">
    <w:name w:val="Table Heading"/>
    <w:basedOn w:val="HeadingBase"/>
    <w:rsid w:val="009977DE"/>
    <w:pPr>
      <w:keepLines/>
      <w:pBdr>
        <w:bottom w:val="single" w:sz="6" w:space="1" w:color="918585"/>
      </w:pBdr>
      <w:spacing w:before="240"/>
    </w:pPr>
  </w:style>
  <w:style w:type="character" w:customStyle="1" w:styleId="HotSpot">
    <w:name w:val="HotSpot"/>
    <w:rsid w:val="009977DE"/>
    <w:rPr>
      <w:color w:val="0033CC"/>
      <w:u w:val="none"/>
    </w:rPr>
  </w:style>
  <w:style w:type="paragraph" w:customStyle="1" w:styleId="BodyTextRight">
    <w:name w:val="Body Text Right"/>
    <w:basedOn w:val="BodyText"/>
    <w:rsid w:val="009977DE"/>
    <w:pPr>
      <w:spacing w:before="0" w:after="0"/>
      <w:jc w:val="right"/>
    </w:pPr>
  </w:style>
  <w:style w:type="paragraph" w:styleId="Index3">
    <w:name w:val="index 3"/>
    <w:basedOn w:val="ListNumber2"/>
    <w:next w:val="Normal"/>
    <w:semiHidden/>
    <w:rsid w:val="009977DE"/>
    <w:pPr>
      <w:numPr>
        <w:numId w:val="0"/>
      </w:numPr>
      <w:tabs>
        <w:tab w:val="right" w:leader="dot" w:pos="4176"/>
      </w:tabs>
    </w:pPr>
  </w:style>
  <w:style w:type="paragraph" w:styleId="ListNumber2">
    <w:name w:val="List Number 2"/>
    <w:basedOn w:val="List2"/>
    <w:rsid w:val="009977DE"/>
    <w:pPr>
      <w:numPr>
        <w:numId w:val="9"/>
      </w:numPr>
      <w:tabs>
        <w:tab w:val="clear" w:pos="1060"/>
      </w:tabs>
    </w:pPr>
  </w:style>
  <w:style w:type="paragraph" w:customStyle="1" w:styleId="MarginNote">
    <w:name w:val="Margin Note"/>
    <w:basedOn w:val="BodyText"/>
    <w:rsid w:val="00997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7DE"/>
    <w:rPr>
      <w:sz w:val="32"/>
    </w:rPr>
  </w:style>
  <w:style w:type="paragraph" w:customStyle="1" w:styleId="HeadingProcedure">
    <w:name w:val="Heading Procedure"/>
    <w:basedOn w:val="HeadingBase"/>
    <w:next w:val="Normal"/>
    <w:rsid w:val="009977DE"/>
    <w:pPr>
      <w:tabs>
        <w:tab w:val="left" w:pos="0"/>
      </w:tabs>
      <w:spacing w:before="120" w:after="60"/>
    </w:pPr>
    <w:rPr>
      <w:i/>
      <w:color w:val="918585"/>
      <w:sz w:val="22"/>
    </w:rPr>
  </w:style>
  <w:style w:type="paragraph" w:customStyle="1" w:styleId="TableBodyText">
    <w:name w:val="Table Body Text"/>
    <w:basedOn w:val="BodyText"/>
    <w:rsid w:val="009977DE"/>
    <w:pPr>
      <w:spacing w:before="60" w:after="60"/>
    </w:pPr>
  </w:style>
  <w:style w:type="paragraph" w:styleId="ListContinue">
    <w:name w:val="List Continue"/>
    <w:basedOn w:val="List"/>
    <w:rsid w:val="009977DE"/>
    <w:pPr>
      <w:ind w:firstLine="0"/>
    </w:pPr>
  </w:style>
  <w:style w:type="paragraph" w:customStyle="1" w:styleId="ListNote">
    <w:name w:val="List Note"/>
    <w:basedOn w:val="List"/>
    <w:rsid w:val="009977DE"/>
    <w:pPr>
      <w:pBdr>
        <w:top w:val="single" w:sz="6" w:space="2" w:color="918585"/>
        <w:bottom w:val="single" w:sz="6" w:space="2" w:color="918585"/>
      </w:pBdr>
      <w:tabs>
        <w:tab w:val="left" w:pos="1021"/>
      </w:tabs>
      <w:ind w:firstLine="0"/>
    </w:pPr>
  </w:style>
  <w:style w:type="paragraph" w:customStyle="1" w:styleId="Warning">
    <w:name w:val="Warning"/>
    <w:basedOn w:val="BodyText"/>
    <w:rsid w:val="009977DE"/>
    <w:pPr>
      <w:shd w:val="clear" w:color="auto" w:fill="D9D9D9"/>
      <w:tabs>
        <w:tab w:val="left" w:pos="992"/>
      </w:tabs>
      <w:ind w:left="119" w:right="119"/>
    </w:pPr>
    <w:rPr>
      <w:sz w:val="20"/>
    </w:rPr>
  </w:style>
  <w:style w:type="paragraph" w:customStyle="1" w:styleId="MarginIcons">
    <w:name w:val="Margin Icons"/>
    <w:basedOn w:val="BodyText"/>
    <w:rsid w:val="00997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7DE"/>
    <w:rPr>
      <w:rFonts w:ascii="Courier New" w:hAnsi="Courier New"/>
    </w:rPr>
  </w:style>
  <w:style w:type="paragraph" w:customStyle="1" w:styleId="NoteBullet">
    <w:name w:val="Note Bullet"/>
    <w:basedOn w:val="Note"/>
    <w:rsid w:val="009977DE"/>
    <w:pPr>
      <w:tabs>
        <w:tab w:val="clear" w:pos="680"/>
      </w:tabs>
      <w:spacing w:before="60" w:after="60"/>
    </w:pPr>
  </w:style>
  <w:style w:type="paragraph" w:customStyle="1" w:styleId="SubHeading2">
    <w:name w:val="SubHeading2"/>
    <w:basedOn w:val="HeadingBase"/>
    <w:rsid w:val="009977DE"/>
    <w:pPr>
      <w:spacing w:before="240" w:after="60"/>
    </w:pPr>
    <w:rPr>
      <w:sz w:val="20"/>
    </w:rPr>
  </w:style>
  <w:style w:type="paragraph" w:customStyle="1" w:styleId="SubHeading1">
    <w:name w:val="SubHeading1"/>
    <w:basedOn w:val="HeadingBase"/>
    <w:rsid w:val="009977DE"/>
    <w:pPr>
      <w:spacing w:before="240" w:after="60"/>
    </w:pPr>
    <w:rPr>
      <w:color w:val="918585"/>
      <w:sz w:val="22"/>
    </w:rPr>
  </w:style>
  <w:style w:type="paragraph" w:customStyle="1" w:styleId="SideHeading">
    <w:name w:val="Side Heading"/>
    <w:basedOn w:val="HeadingBase"/>
    <w:rsid w:val="00997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7DE"/>
    <w:pPr>
      <w:numPr>
        <w:numId w:val="10"/>
      </w:numPr>
    </w:pPr>
  </w:style>
  <w:style w:type="paragraph" w:styleId="PlainText">
    <w:name w:val="Plain Text"/>
    <w:basedOn w:val="Normal"/>
    <w:link w:val="PlainTextChar"/>
    <w:rsid w:val="009977DE"/>
    <w:rPr>
      <w:sz w:val="20"/>
    </w:rPr>
  </w:style>
  <w:style w:type="character" w:customStyle="1" w:styleId="PlainTextChar">
    <w:name w:val="Plain Text Char"/>
    <w:basedOn w:val="DefaultParagraphFont"/>
    <w:link w:val="PlainText"/>
    <w:rsid w:val="009977DE"/>
    <w:rPr>
      <w:rFonts w:ascii="Courier New" w:eastAsia="Times New Roman" w:hAnsi="Courier New" w:cs="Times New Roman"/>
      <w:sz w:val="20"/>
      <w:szCs w:val="20"/>
      <w:lang w:eastAsia="en-US"/>
    </w:rPr>
  </w:style>
  <w:style w:type="character" w:customStyle="1" w:styleId="MenuOption">
    <w:name w:val="Menu Option"/>
    <w:basedOn w:val="DefaultParagraphFont"/>
    <w:rsid w:val="009977DE"/>
    <w:rPr>
      <w:b/>
      <w:smallCaps/>
    </w:rPr>
  </w:style>
  <w:style w:type="paragraph" w:customStyle="1" w:styleId="TableListNumber">
    <w:name w:val="Table List Number"/>
    <w:basedOn w:val="ListNumber"/>
    <w:rsid w:val="009977DE"/>
    <w:pPr>
      <w:numPr>
        <w:numId w:val="0"/>
      </w:numPr>
    </w:pPr>
  </w:style>
  <w:style w:type="paragraph" w:styleId="TOC4">
    <w:name w:val="toc 4"/>
    <w:basedOn w:val="TOCBase"/>
    <w:next w:val="Normal"/>
    <w:semiHidden/>
    <w:rsid w:val="009977DE"/>
    <w:pPr>
      <w:tabs>
        <w:tab w:val="right" w:leader="dot" w:pos="9071"/>
      </w:tabs>
      <w:ind w:left="1701"/>
    </w:pPr>
  </w:style>
  <w:style w:type="paragraph" w:customStyle="1" w:styleId="ListAlpha">
    <w:name w:val="List Alpha"/>
    <w:basedOn w:val="List"/>
    <w:rsid w:val="009977DE"/>
    <w:pPr>
      <w:numPr>
        <w:numId w:val="8"/>
      </w:numPr>
    </w:pPr>
  </w:style>
  <w:style w:type="paragraph" w:customStyle="1" w:styleId="ListAlpha2">
    <w:name w:val="List Alpha 2"/>
    <w:basedOn w:val="List2"/>
    <w:rsid w:val="009977DE"/>
    <w:pPr>
      <w:numPr>
        <w:numId w:val="7"/>
      </w:numPr>
    </w:pPr>
  </w:style>
  <w:style w:type="paragraph" w:styleId="List2">
    <w:name w:val="List 2"/>
    <w:basedOn w:val="BodyText"/>
    <w:rsid w:val="009977DE"/>
    <w:pPr>
      <w:tabs>
        <w:tab w:val="left" w:pos="680"/>
      </w:tabs>
      <w:spacing w:before="60" w:after="60"/>
      <w:ind w:left="680" w:hanging="340"/>
    </w:pPr>
  </w:style>
  <w:style w:type="paragraph" w:styleId="List3">
    <w:name w:val="List 3"/>
    <w:basedOn w:val="BodyText"/>
    <w:rsid w:val="009977DE"/>
    <w:pPr>
      <w:tabs>
        <w:tab w:val="left" w:pos="1021"/>
      </w:tabs>
      <w:spacing w:before="60" w:after="60"/>
      <w:ind w:left="1020" w:hanging="340"/>
    </w:pPr>
  </w:style>
  <w:style w:type="paragraph" w:styleId="List4">
    <w:name w:val="List 4"/>
    <w:basedOn w:val="BodyText"/>
    <w:rsid w:val="009977DE"/>
    <w:pPr>
      <w:tabs>
        <w:tab w:val="left" w:pos="1361"/>
      </w:tabs>
      <w:spacing w:before="60" w:after="60"/>
      <w:ind w:left="1361" w:hanging="340"/>
    </w:pPr>
  </w:style>
  <w:style w:type="paragraph" w:styleId="List5">
    <w:name w:val="List 5"/>
    <w:basedOn w:val="BodyText"/>
    <w:rsid w:val="009977DE"/>
    <w:pPr>
      <w:tabs>
        <w:tab w:val="left" w:pos="1701"/>
      </w:tabs>
      <w:spacing w:before="60" w:after="60"/>
      <w:ind w:left="1701" w:hanging="340"/>
    </w:pPr>
  </w:style>
  <w:style w:type="paragraph" w:styleId="ListBullet3">
    <w:name w:val="List Bullet 3"/>
    <w:basedOn w:val="List3"/>
    <w:rsid w:val="009977DE"/>
    <w:pPr>
      <w:numPr>
        <w:numId w:val="13"/>
      </w:numPr>
      <w:tabs>
        <w:tab w:val="clear" w:pos="1021"/>
      </w:tabs>
      <w:ind w:left="1037" w:hanging="357"/>
    </w:pPr>
  </w:style>
  <w:style w:type="paragraph" w:styleId="ListBullet4">
    <w:name w:val="List Bullet 4"/>
    <w:basedOn w:val="List4"/>
    <w:rsid w:val="009977DE"/>
    <w:pPr>
      <w:numPr>
        <w:numId w:val="2"/>
      </w:numPr>
      <w:tabs>
        <w:tab w:val="clear" w:pos="1361"/>
      </w:tabs>
    </w:pPr>
  </w:style>
  <w:style w:type="paragraph" w:styleId="ListBullet5">
    <w:name w:val="List Bullet 5"/>
    <w:basedOn w:val="List5"/>
    <w:rsid w:val="009977DE"/>
    <w:pPr>
      <w:numPr>
        <w:numId w:val="3"/>
      </w:numPr>
    </w:pPr>
  </w:style>
  <w:style w:type="paragraph" w:styleId="ListContinue2">
    <w:name w:val="List Continue 2"/>
    <w:basedOn w:val="List2"/>
    <w:rsid w:val="009977DE"/>
    <w:pPr>
      <w:ind w:firstLine="0"/>
    </w:pPr>
  </w:style>
  <w:style w:type="paragraph" w:styleId="ListContinue3">
    <w:name w:val="List Continue 3"/>
    <w:basedOn w:val="List3"/>
    <w:rsid w:val="009977DE"/>
    <w:pPr>
      <w:ind w:left="1021" w:firstLine="0"/>
    </w:pPr>
  </w:style>
  <w:style w:type="paragraph" w:styleId="ListContinue4">
    <w:name w:val="List Continue 4"/>
    <w:basedOn w:val="List4"/>
    <w:rsid w:val="009977DE"/>
    <w:pPr>
      <w:ind w:firstLine="0"/>
    </w:pPr>
  </w:style>
  <w:style w:type="paragraph" w:styleId="ListContinue5">
    <w:name w:val="List Continue 5"/>
    <w:basedOn w:val="List5"/>
    <w:rsid w:val="009977DE"/>
    <w:pPr>
      <w:ind w:firstLine="0"/>
    </w:pPr>
  </w:style>
  <w:style w:type="paragraph" w:styleId="ListNumber3">
    <w:name w:val="List Number 3"/>
    <w:basedOn w:val="List3"/>
    <w:rsid w:val="009977DE"/>
    <w:pPr>
      <w:numPr>
        <w:numId w:val="4"/>
      </w:numPr>
    </w:pPr>
  </w:style>
  <w:style w:type="paragraph" w:styleId="ListNumber4">
    <w:name w:val="List Number 4"/>
    <w:basedOn w:val="List4"/>
    <w:rsid w:val="009977DE"/>
    <w:pPr>
      <w:numPr>
        <w:numId w:val="5"/>
      </w:numPr>
    </w:pPr>
  </w:style>
  <w:style w:type="paragraph" w:styleId="ListNumber5">
    <w:name w:val="List Number 5"/>
    <w:basedOn w:val="List5"/>
    <w:rsid w:val="009977DE"/>
    <w:pPr>
      <w:numPr>
        <w:numId w:val="6"/>
      </w:numPr>
    </w:pPr>
  </w:style>
  <w:style w:type="paragraph" w:styleId="BlockText">
    <w:name w:val="Block Text"/>
    <w:basedOn w:val="Normal"/>
    <w:rsid w:val="009977DE"/>
    <w:pPr>
      <w:spacing w:after="120"/>
      <w:ind w:left="1440" w:right="1440"/>
    </w:pPr>
  </w:style>
  <w:style w:type="character" w:customStyle="1" w:styleId="Subscript">
    <w:name w:val="Subscript"/>
    <w:basedOn w:val="DefaultParagraphFont"/>
    <w:rsid w:val="009977DE"/>
    <w:rPr>
      <w:sz w:val="16"/>
      <w:vertAlign w:val="subscript"/>
    </w:rPr>
  </w:style>
  <w:style w:type="character" w:customStyle="1" w:styleId="Superscript">
    <w:name w:val="Superscript"/>
    <w:basedOn w:val="DefaultParagraphFont"/>
    <w:rsid w:val="009977DE"/>
    <w:rPr>
      <w:sz w:val="16"/>
      <w:vertAlign w:val="superscript"/>
    </w:rPr>
  </w:style>
  <w:style w:type="character" w:customStyle="1" w:styleId="Symbols">
    <w:name w:val="Symbols"/>
    <w:basedOn w:val="DefaultParagraphFont"/>
    <w:rsid w:val="009977DE"/>
    <w:rPr>
      <w:rFonts w:ascii="Symbol" w:hAnsi="Symbol"/>
    </w:rPr>
  </w:style>
  <w:style w:type="character" w:customStyle="1" w:styleId="MenuOptions">
    <w:name w:val="Menu Options"/>
    <w:basedOn w:val="DefaultParagraphFont"/>
    <w:rsid w:val="009977DE"/>
    <w:rPr>
      <w:rFonts w:ascii="Arial Narrow" w:hAnsi="Arial Narrow"/>
      <w:smallCaps/>
    </w:rPr>
  </w:style>
  <w:style w:type="character" w:customStyle="1" w:styleId="Buttons">
    <w:name w:val="Buttons"/>
    <w:basedOn w:val="DefaultParagraphFont"/>
    <w:rsid w:val="009977DE"/>
    <w:rPr>
      <w:b/>
    </w:rPr>
  </w:style>
  <w:style w:type="character" w:customStyle="1" w:styleId="Underlined">
    <w:name w:val="Underlined"/>
    <w:basedOn w:val="DefaultParagraphFont"/>
    <w:rsid w:val="009977DE"/>
    <w:rPr>
      <w:u w:val="single"/>
    </w:rPr>
  </w:style>
  <w:style w:type="paragraph" w:customStyle="1" w:styleId="TableBodyTextRight">
    <w:name w:val="Table Body Text Right"/>
    <w:basedOn w:val="TableBodyText"/>
    <w:rsid w:val="009977DE"/>
    <w:pPr>
      <w:widowControl w:val="0"/>
      <w:autoSpaceDE w:val="0"/>
      <w:autoSpaceDN w:val="0"/>
      <w:adjustRightInd w:val="0"/>
      <w:jc w:val="right"/>
    </w:pPr>
    <w:rPr>
      <w:rFonts w:cs="Arial"/>
      <w:szCs w:val="18"/>
    </w:rPr>
  </w:style>
  <w:style w:type="paragraph" w:customStyle="1" w:styleId="CopyrightText">
    <w:name w:val="Copyright Text"/>
    <w:basedOn w:val="BodyText"/>
    <w:rsid w:val="009977DE"/>
    <w:rPr>
      <w:sz w:val="18"/>
    </w:rPr>
  </w:style>
  <w:style w:type="paragraph" w:customStyle="1" w:styleId="BodySmallRight">
    <w:name w:val="Body Small Right"/>
    <w:basedOn w:val="BodyTextRight"/>
    <w:rsid w:val="009977DE"/>
    <w:rPr>
      <w:sz w:val="18"/>
      <w:szCs w:val="18"/>
    </w:rPr>
  </w:style>
  <w:style w:type="paragraph" w:customStyle="1" w:styleId="MarginEdition">
    <w:name w:val="Margin Edition"/>
    <w:basedOn w:val="MarginNote"/>
    <w:rsid w:val="009977DE"/>
    <w:pPr>
      <w:spacing w:before="0" w:after="0"/>
    </w:pPr>
    <w:rPr>
      <w:rFonts w:ascii="Times New Roman" w:hAnsi="Times New Roman"/>
      <w:color w:val="999999"/>
    </w:rPr>
  </w:style>
  <w:style w:type="paragraph" w:customStyle="1" w:styleId="Spacer">
    <w:name w:val="Spacer"/>
    <w:basedOn w:val="Normal"/>
    <w:rsid w:val="009977DE"/>
    <w:rPr>
      <w:sz w:val="2"/>
      <w:szCs w:val="2"/>
    </w:rPr>
  </w:style>
  <w:style w:type="character" w:customStyle="1" w:styleId="Small">
    <w:name w:val="Small"/>
    <w:basedOn w:val="DefaultParagraphFont"/>
    <w:rsid w:val="009977DE"/>
    <w:rPr>
      <w:sz w:val="16"/>
    </w:rPr>
  </w:style>
  <w:style w:type="paragraph" w:customStyle="1" w:styleId="WideTable">
    <w:name w:val="Wide Table"/>
    <w:basedOn w:val="Normal"/>
    <w:rsid w:val="009977DE"/>
    <w:pPr>
      <w:ind w:left="-1418"/>
    </w:pPr>
    <w:rPr>
      <w:sz w:val="2"/>
      <w:szCs w:val="2"/>
    </w:rPr>
  </w:style>
  <w:style w:type="character" w:styleId="PageNumber">
    <w:name w:val="page number"/>
    <w:basedOn w:val="DefaultParagraphFont"/>
    <w:rsid w:val="009977DE"/>
  </w:style>
  <w:style w:type="paragraph" w:styleId="Quote">
    <w:name w:val="Quote"/>
    <w:basedOn w:val="Heading1"/>
    <w:link w:val="QuoteChar"/>
    <w:qFormat/>
    <w:rsid w:val="009977DE"/>
    <w:rPr>
      <w:b w:val="0"/>
      <w:sz w:val="72"/>
      <w:szCs w:val="72"/>
      <w:lang w:val="en-NZ"/>
    </w:rPr>
  </w:style>
  <w:style w:type="character" w:customStyle="1" w:styleId="QuoteChar">
    <w:name w:val="Quote Char"/>
    <w:basedOn w:val="DefaultParagraphFont"/>
    <w:link w:val="Quote"/>
    <w:rsid w:val="00997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7DE"/>
    <w:pPr>
      <w:pageBreakBefore/>
    </w:pPr>
  </w:style>
  <w:style w:type="paragraph" w:customStyle="1" w:styleId="Border">
    <w:name w:val="Border"/>
    <w:basedOn w:val="Normal"/>
    <w:qFormat/>
    <w:rsid w:val="00997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7DE"/>
    <w:rPr>
      <w:b/>
      <w:bCs/>
      <w:i/>
      <w:iCs/>
      <w:color w:val="auto"/>
    </w:rPr>
  </w:style>
  <w:style w:type="paragraph" w:styleId="IntenseQuote">
    <w:name w:val="Intense Quote"/>
    <w:basedOn w:val="Normal"/>
    <w:next w:val="Normal"/>
    <w:link w:val="IntenseQuoteChar"/>
    <w:uiPriority w:val="30"/>
    <w:qFormat/>
    <w:rsid w:val="00997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7DE"/>
    <w:rPr>
      <w:smallCaps/>
      <w:color w:val="auto"/>
      <w:u w:val="single"/>
    </w:rPr>
  </w:style>
  <w:style w:type="character" w:styleId="IntenseReference">
    <w:name w:val="Intense Reference"/>
    <w:basedOn w:val="DefaultParagraphFont"/>
    <w:uiPriority w:val="32"/>
    <w:qFormat/>
    <w:rsid w:val="009977DE"/>
    <w:rPr>
      <w:b/>
      <w:bCs/>
      <w:smallCaps/>
      <w:color w:val="auto"/>
      <w:spacing w:val="5"/>
      <w:u w:val="single"/>
    </w:rPr>
  </w:style>
  <w:style w:type="paragraph" w:customStyle="1" w:styleId="2ColumnHeading">
    <w:name w:val="2Column Heading"/>
    <w:basedOn w:val="BodyText"/>
    <w:qFormat/>
    <w:rsid w:val="009977DE"/>
    <w:pPr>
      <w:spacing w:after="60"/>
      <w:ind w:left="-2268"/>
    </w:pPr>
    <w:rPr>
      <w:b/>
    </w:rPr>
  </w:style>
  <w:style w:type="paragraph" w:customStyle="1" w:styleId="Heading1TOC">
    <w:name w:val="Heading1 TOC"/>
    <w:basedOn w:val="Normal"/>
    <w:qFormat/>
    <w:rsid w:val="009977DE"/>
    <w:pPr>
      <w:spacing w:before="240" w:after="120"/>
    </w:pPr>
    <w:rPr>
      <w:rFonts w:ascii="Times New Roman" w:hAnsi="Times New Roman"/>
      <w:b/>
      <w:sz w:val="32"/>
    </w:rPr>
  </w:style>
  <w:style w:type="paragraph" w:customStyle="1" w:styleId="Heading2TOC">
    <w:name w:val="Heading2 TOC"/>
    <w:basedOn w:val="Normal"/>
    <w:qFormat/>
    <w:rsid w:val="009977DE"/>
    <w:pPr>
      <w:spacing w:before="240" w:after="60"/>
    </w:pPr>
    <w:rPr>
      <w:rFonts w:ascii="Times New Roman" w:hAnsi="Times New Roman"/>
      <w:b/>
      <w:sz w:val="28"/>
    </w:rPr>
  </w:style>
  <w:style w:type="character" w:customStyle="1" w:styleId="Underline">
    <w:name w:val="Underline"/>
    <w:basedOn w:val="DefaultParagraphFont"/>
    <w:qFormat/>
    <w:rsid w:val="009977DE"/>
    <w:rPr>
      <w:u w:val="single"/>
    </w:rPr>
  </w:style>
  <w:style w:type="character" w:customStyle="1" w:styleId="BoldandItalics">
    <w:name w:val="Bold and Italics"/>
    <w:qFormat/>
    <w:rsid w:val="009977DE"/>
    <w:rPr>
      <w:b/>
      <w:i/>
      <w:u w:val="none"/>
    </w:rPr>
  </w:style>
  <w:style w:type="paragraph" w:styleId="BalloonText">
    <w:name w:val="Balloon Text"/>
    <w:basedOn w:val="Normal"/>
    <w:link w:val="BalloonTextChar"/>
    <w:rsid w:val="009977DE"/>
    <w:rPr>
      <w:rFonts w:ascii="Tahoma" w:hAnsi="Tahoma" w:cs="Tahoma"/>
      <w:sz w:val="16"/>
      <w:szCs w:val="16"/>
    </w:rPr>
  </w:style>
  <w:style w:type="character" w:customStyle="1" w:styleId="BalloonTextChar">
    <w:name w:val="Balloon Text Char"/>
    <w:basedOn w:val="DefaultParagraphFont"/>
    <w:link w:val="BalloonText"/>
    <w:rsid w:val="00997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7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7DE"/>
    <w:rPr>
      <w:b/>
      <w:color w:val="660033"/>
      <w:spacing w:val="0"/>
    </w:rPr>
  </w:style>
  <w:style w:type="paragraph" w:customStyle="1" w:styleId="Nameditemlist">
    <w:name w:val="Named item list"/>
    <w:basedOn w:val="BodyText"/>
    <w:qFormat/>
    <w:rsid w:val="009977DE"/>
    <w:pPr>
      <w:tabs>
        <w:tab w:val="left" w:pos="2835"/>
      </w:tabs>
      <w:ind w:left="2835" w:hanging="2835"/>
    </w:pPr>
  </w:style>
  <w:style w:type="paragraph" w:customStyle="1" w:styleId="BodyTextnopadding">
    <w:name w:val="Body Text no padding"/>
    <w:basedOn w:val="BodyText"/>
    <w:qFormat/>
    <w:rsid w:val="009977DE"/>
    <w:pPr>
      <w:spacing w:before="0" w:after="0"/>
    </w:pPr>
  </w:style>
  <w:style w:type="paragraph" w:customStyle="1" w:styleId="BodyTextBold">
    <w:name w:val="Body Text Bold"/>
    <w:basedOn w:val="BodyText"/>
    <w:qFormat/>
    <w:rsid w:val="009977DE"/>
    <w:rPr>
      <w:b/>
    </w:rPr>
  </w:style>
  <w:style w:type="character" w:styleId="Hyperlink">
    <w:name w:val="Hyperlink"/>
    <w:basedOn w:val="DefaultParagraphFont"/>
    <w:uiPriority w:val="99"/>
    <w:unhideWhenUsed/>
    <w:rsid w:val="00F84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7012</Characters>
  <Application>Microsoft Office Word</Application>
  <DocSecurity>0</DocSecurity>
  <Lines>241</Lines>
  <Paragraphs>139</Paragraphs>
  <ScaleCrop>false</ScaleCrop>
  <Company>Author-it Software Corporation Ltd.</Company>
  <LinksUpToDate>false</LinksUpToDate>
  <CharactersWithSpaces>7928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NWPTRD006 Investigate trade waste incidents and non-compliances</dc:title>
  <dc:subject>Approved</dc:subject>
  <dc:creator>BuildSkills Australia</dc:creator>
  <cp:keywords>Release: 1</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