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B2C" w:rsidP="00E01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NWPTRD006 Investigate trade waste incidents and non-compliances</w:t>
      </w:r>
      <w:r>
        <w:fldChar w:fldCharType="end"/>
      </w:r>
    </w:p>
    <w:p w:rsidR="00E01B2C" w:rsidP="00E01B2C">
      <w:pPr>
        <w:pStyle w:val="Version"/>
        <w:sectPr w:rsidSect="00EA6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F25" w:rsidP="00EA6F25">
      <w:pPr>
        <w:pStyle w:val="SuperHeading"/>
      </w:pPr>
      <w:r w:rsidRPr="00EA6F25">
        <w:t>Assessment Requirements for NWPTRD006 Investigate trade waste incidents and non-compliances</w:t>
      </w:r>
    </w:p>
    <w:p w:rsidR="00000000" w:rsidRPr="00EA6F25" w:rsidP="00EA6F25">
      <w:pPr>
        <w:pStyle w:val="Heading1"/>
      </w:pPr>
      <w:bookmarkStart w:id="1" w:name="O_1122668"/>
      <w:bookmarkEnd w:id="1"/>
      <w:r w:rsidRPr="00EA6F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25" w:rsidP="00EA6F25">
            <w:pPr>
              <w:pStyle w:val="BodyText"/>
            </w:pPr>
            <w:r w:rsidRPr="00EA6F25">
              <w:t>Release 1. This is the first release of this unit of competency in the NWP National Water Training Package.</w:t>
            </w:r>
          </w:p>
        </w:tc>
      </w:tr>
    </w:tbl>
    <w:p w:rsidR="00E01B2C" w:rsidP="00EA6F25">
      <w:pPr>
        <w:pStyle w:val="NoPaddingFontSize1"/>
      </w:pPr>
    </w:p>
    <w:p w:rsidR="00E01B2C" w:rsidP="00EA6F25">
      <w:pPr>
        <w:pStyle w:val="NoPaddingFontSize1"/>
      </w:pPr>
    </w:p>
    <w:p w:rsidR="00000000" w:rsidRPr="00EA6F25" w:rsidP="00EA6F25">
      <w:pPr>
        <w:pStyle w:val="Heading1"/>
      </w:pPr>
      <w:bookmarkStart w:id="2" w:name="O_1122669"/>
      <w:bookmarkEnd w:id="2"/>
      <w:r w:rsidRPr="00EA6F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25">
            <w:pPr>
              <w:pStyle w:val="BodyText"/>
              <w:rPr>
                <w:lang w:val="en-NZ"/>
              </w:rPr>
            </w:pPr>
            <w:r w:rsidRPr="00EA6F2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EA6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25" w:rsidP="00EA6F25">
            <w:pPr>
              <w:pStyle w:val="ListBullet"/>
            </w:pPr>
            <w:r w:rsidRPr="00EA6F25">
              <w:t>assessing environmental impact aga</w:t>
            </w:r>
            <w:r w:rsidRPr="00EA6F25">
              <w:t>inst appropriate industry standards</w:t>
            </w:r>
          </w:p>
          <w:p w:rsidR="00000000" w:rsidRPr="00EA6F25" w:rsidP="00EA6F25">
            <w:pPr>
              <w:pStyle w:val="ListBullet"/>
            </w:pPr>
            <w:r w:rsidRPr="00EA6F25">
              <w:t>assessing the type and extent of incident impact</w:t>
            </w:r>
          </w:p>
          <w:p w:rsidR="00000000" w:rsidRPr="00EA6F25" w:rsidP="00EA6F25">
            <w:pPr>
              <w:pStyle w:val="ListBullet"/>
            </w:pPr>
            <w:r w:rsidRPr="00EA6F25">
              <w:t>assessing wastewater treatment methods, processes, plant and equipment</w:t>
            </w:r>
          </w:p>
          <w:p w:rsidR="00000000" w:rsidRPr="00EA6F25" w:rsidP="00EA6F25">
            <w:pPr>
              <w:pStyle w:val="ListBullet"/>
            </w:pPr>
            <w:r w:rsidRPr="00EA6F25">
              <w:t>completing incident reports for prosecutions</w:t>
            </w:r>
          </w:p>
          <w:p w:rsidR="00000000" w:rsidRPr="00EA6F25" w:rsidP="00EA6F25">
            <w:pPr>
              <w:pStyle w:val="ListBullet"/>
            </w:pPr>
            <w:r w:rsidRPr="00EA6F25">
              <w:t>developing monitoring plans and coordinating measuring,</w:t>
            </w:r>
            <w:r w:rsidRPr="00EA6F25">
              <w:t xml:space="preserve"> testing and sampling activities</w:t>
            </w:r>
          </w:p>
          <w:p w:rsidR="00000000" w:rsidRPr="00EA6F25" w:rsidP="00EA6F25">
            <w:pPr>
              <w:pStyle w:val="ListBullet"/>
            </w:pPr>
            <w:r w:rsidRPr="00EA6F25">
              <w:t>evaluating process and wastewater system inputs and outputs</w:t>
            </w:r>
          </w:p>
          <w:p w:rsidR="00000000" w:rsidRPr="00EA6F25" w:rsidP="00EA6F25">
            <w:pPr>
              <w:pStyle w:val="ListBullet"/>
            </w:pPr>
            <w:r w:rsidRPr="00EA6F25">
              <w:t>identifying and analysing incident locations</w:t>
            </w:r>
          </w:p>
          <w:p w:rsidR="00000000" w:rsidRPr="00EA6F25" w:rsidP="00EA6F25">
            <w:pPr>
              <w:pStyle w:val="ListBullet"/>
            </w:pPr>
            <w:r w:rsidRPr="00EA6F25">
              <w:t>identifying and evaluating trade waste producing processes</w:t>
            </w:r>
          </w:p>
          <w:p w:rsidR="00000000" w:rsidRPr="00EA6F25" w:rsidP="00EA6F25">
            <w:pPr>
              <w:pStyle w:val="ListBullet"/>
            </w:pPr>
            <w:r w:rsidRPr="00EA6F25">
              <w:t>identifying and selecting appropriate corrective measures</w:t>
            </w:r>
          </w:p>
          <w:p w:rsidR="00000000" w:rsidRPr="00EA6F25" w:rsidP="00EA6F25">
            <w:pPr>
              <w:pStyle w:val="ListBullet"/>
            </w:pPr>
            <w:r w:rsidRPr="00EA6F25">
              <w:t>identifying, confirming and analysing sources of trade waste catchment incidents</w:t>
            </w:r>
          </w:p>
          <w:p w:rsidR="00000000" w:rsidRPr="00EA6F25" w:rsidP="00EA6F25">
            <w:pPr>
              <w:pStyle w:val="ListBullet"/>
            </w:pPr>
            <w:r w:rsidRPr="00EA6F25">
              <w:t>interpreting and applying legislation and policies applicable to trade waste</w:t>
            </w:r>
          </w:p>
          <w:p w:rsidR="00000000" w:rsidRPr="00EA6F25" w:rsidP="00EA6F25">
            <w:pPr>
              <w:pStyle w:val="ListBullet"/>
            </w:pPr>
            <w:r w:rsidRPr="00EA6F25">
              <w:t>interpreting and evaluating sample analysis data</w:t>
            </w:r>
          </w:p>
          <w:p w:rsidR="00000000" w:rsidRPr="00EA6F25" w:rsidP="00EA6F25">
            <w:pPr>
              <w:pStyle w:val="ListBullet"/>
            </w:pPr>
            <w:r w:rsidRPr="00EA6F25">
              <w:t>interpreting and reviewing hydraulic and site pla</w:t>
            </w:r>
            <w:r w:rsidRPr="00EA6F25">
              <w:t>ns</w:t>
            </w:r>
          </w:p>
          <w:p w:rsidR="00000000" w:rsidRPr="00EA6F25" w:rsidP="00EA6F25">
            <w:pPr>
              <w:pStyle w:val="ListBullet"/>
            </w:pPr>
            <w:r w:rsidRPr="00EA6F25">
              <w:t>investigating possible sources and identifying the instigators of the incidents</w:t>
            </w:r>
          </w:p>
          <w:p w:rsidR="00000000" w:rsidRPr="00EA6F25" w:rsidP="00EA6F25">
            <w:pPr>
              <w:pStyle w:val="ListBullet"/>
            </w:pPr>
            <w:r w:rsidRPr="00EA6F25">
              <w:t>investigating the instigating organisations and negotiating rectification measures</w:t>
            </w:r>
          </w:p>
          <w:p w:rsidR="00000000" w:rsidRPr="00EA6F25" w:rsidP="00EA6F25">
            <w:pPr>
              <w:pStyle w:val="ListBullet"/>
            </w:pPr>
            <w:r w:rsidRPr="00EA6F25">
              <w:t>planning and conducting investigations</w:t>
            </w:r>
          </w:p>
          <w:p w:rsidR="00000000" w:rsidRPr="00EA6F25" w:rsidP="00EA6F25">
            <w:pPr>
              <w:pStyle w:val="ListBullet"/>
            </w:pPr>
            <w:r w:rsidRPr="00EA6F25">
              <w:t>using wastewater sampling and preservation techniqu</w:t>
            </w:r>
            <w:r w:rsidRPr="00EA6F25">
              <w:t>es for onsite and laboratory testing</w:t>
            </w:r>
          </w:p>
        </w:tc>
      </w:tr>
    </w:tbl>
    <w:p w:rsidR="00000000" w:rsidRPr="00EA6F25" w:rsidP="00EA6F25">
      <w:pPr>
        <w:pStyle w:val="NoPaddingFontSize1"/>
      </w:pPr>
    </w:p>
    <w:p w:rsidR="00000000" w:rsidRPr="00EA6F25" w:rsidP="00EA6F25">
      <w:pPr>
        <w:pStyle w:val="AllowPageBreak"/>
      </w:pPr>
    </w:p>
    <w:p w:rsidR="00000000" w:rsidRPr="00EA6F25" w:rsidP="00EA6F25">
      <w:pPr>
        <w:pStyle w:val="Heading1"/>
      </w:pPr>
      <w:bookmarkStart w:id="3" w:name="O_1122670"/>
      <w:bookmarkEnd w:id="3"/>
      <w:r w:rsidRPr="00EA6F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25">
            <w:pPr>
              <w:pStyle w:val="BodyText"/>
              <w:rPr>
                <w:lang w:val="en-NZ"/>
              </w:rPr>
            </w:pPr>
            <w:r w:rsidRPr="00EA6F2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A6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25" w:rsidP="00EA6F25">
            <w:pPr>
              <w:pStyle w:val="ListBullet"/>
            </w:pPr>
            <w:r w:rsidRPr="00EA6F25">
              <w:t>approval holder expectations and requirements</w:t>
            </w:r>
          </w:p>
          <w:p w:rsidR="00000000" w:rsidRPr="00EA6F25" w:rsidP="00EA6F25">
            <w:pPr>
              <w:pStyle w:val="ListBullet"/>
            </w:pPr>
            <w:r w:rsidRPr="00EA6F25">
              <w:t>corrective measures relevant to approval holder base and associated risk</w:t>
            </w:r>
          </w:p>
          <w:p w:rsidR="00000000" w:rsidRPr="00EA6F25" w:rsidP="00EA6F25">
            <w:pPr>
              <w:pStyle w:val="ListBullet"/>
            </w:pPr>
            <w:r w:rsidRPr="00EA6F25">
              <w:t>data records and report writing procedures</w:t>
            </w:r>
          </w:p>
          <w:p w:rsidR="00000000" w:rsidRPr="00EA6F25" w:rsidP="00EA6F25">
            <w:pPr>
              <w:pStyle w:val="ListBullet"/>
            </w:pPr>
            <w:r w:rsidRPr="00EA6F25">
              <w:t>impact and interaction of pollutants and toxins</w:t>
            </w:r>
          </w:p>
          <w:p w:rsidR="00000000" w:rsidRPr="00EA6F25" w:rsidP="00EA6F25">
            <w:pPr>
              <w:pStyle w:val="ListBullet"/>
            </w:pPr>
            <w:r w:rsidRPr="00EA6F25">
              <w:t>investigation procedures and techniques</w:t>
            </w:r>
          </w:p>
          <w:p w:rsidR="00000000" w:rsidRPr="00EA6F25" w:rsidP="00EA6F25">
            <w:pPr>
              <w:pStyle w:val="ListBullet"/>
            </w:pPr>
            <w:r w:rsidRPr="00EA6F25">
              <w:t>person</w:t>
            </w:r>
            <w:r w:rsidRPr="00EA6F25">
              <w:t xml:space="preserve">al protection and safety precautions for wastewater sampling including requirements </w:t>
            </w:r>
            <w:r w:rsidRPr="00EA6F25">
              <w:t>for relevant inoculations</w:t>
            </w:r>
          </w:p>
          <w:p w:rsidR="00000000" w:rsidRPr="00EA6F25" w:rsidP="00EA6F25">
            <w:pPr>
              <w:pStyle w:val="ListBullet"/>
            </w:pPr>
            <w:r w:rsidRPr="00EA6F25">
              <w:t>range of appropriate measuring, testing and sampling procedures</w:t>
            </w:r>
          </w:p>
          <w:p w:rsidR="00000000" w:rsidRPr="00EA6F25" w:rsidP="00EA6F25">
            <w:pPr>
              <w:pStyle w:val="ListBullet"/>
            </w:pPr>
            <w:r w:rsidRPr="00EA6F25">
              <w:t>relevant enterprise policies for trade waste management</w:t>
            </w:r>
          </w:p>
          <w:p w:rsidR="00000000" w:rsidRPr="00EA6F25" w:rsidP="00EA6F25">
            <w:pPr>
              <w:pStyle w:val="ListBullet"/>
            </w:pPr>
            <w:r w:rsidRPr="00EA6F25">
              <w:t>relevant legislation, indu</w:t>
            </w:r>
            <w:r w:rsidRPr="00EA6F25">
              <w:t>stry standards and codes of practice</w:t>
            </w:r>
          </w:p>
          <w:p w:rsidR="00000000" w:rsidRPr="00EA6F25" w:rsidP="00EA6F25">
            <w:pPr>
              <w:pStyle w:val="ListBullet"/>
            </w:pPr>
            <w:r w:rsidRPr="00EA6F25">
              <w:t>trade waste treatment methods and processes</w:t>
            </w:r>
          </w:p>
          <w:p w:rsidR="00000000" w:rsidRPr="00EA6F25" w:rsidP="00EA6F25">
            <w:pPr>
              <w:pStyle w:val="ListBullet"/>
            </w:pPr>
            <w:r w:rsidRPr="00EA6F25">
              <w:t>water quality parameters of significance to the wastewater system</w:t>
            </w:r>
          </w:p>
          <w:p w:rsidR="00000000" w:rsidRPr="00EA6F25" w:rsidP="00EA6F25">
            <w:pPr>
              <w:pStyle w:val="ListBullet"/>
            </w:pPr>
            <w:r w:rsidRPr="00EA6F25">
              <w:t>work health and safety legislation and requirements</w:t>
            </w:r>
          </w:p>
        </w:tc>
      </w:tr>
    </w:tbl>
    <w:p w:rsidR="00000000" w:rsidRPr="00EA6F25" w:rsidP="00EA6F25">
      <w:pPr>
        <w:pStyle w:val="NoPaddingFontSize1"/>
      </w:pPr>
    </w:p>
    <w:p w:rsidR="00000000" w:rsidRPr="00EA6F25" w:rsidP="00EA6F25">
      <w:pPr>
        <w:pStyle w:val="AllowPageBreak"/>
      </w:pPr>
    </w:p>
    <w:p w:rsidR="00000000" w:rsidRPr="00EA6F25" w:rsidP="00EA6F25">
      <w:pPr>
        <w:pStyle w:val="Heading1"/>
      </w:pPr>
      <w:bookmarkStart w:id="4" w:name="O_1122671"/>
      <w:bookmarkEnd w:id="4"/>
      <w:r w:rsidRPr="00EA6F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6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25" w:rsidP="00EA6F25">
            <w:pPr>
              <w:pStyle w:val="BodyText"/>
            </w:pPr>
            <w:r w:rsidRPr="00EA6F25">
              <w:t xml:space="preserve">Assessors must hold credentials specified within the Standards for Registered Training Organisations current at the time of assessment. </w:t>
            </w:r>
          </w:p>
          <w:p w:rsidR="00000000" w:rsidRPr="00EA6F25" w:rsidP="00EA6F25">
            <w:pPr>
              <w:pStyle w:val="BodyText"/>
            </w:pPr>
            <w:r w:rsidRPr="00EA6F25">
              <w:t>Assessment must satisfy the Principles of Assessment and Rules of Evidence and all regulatory requirements included wit</w:t>
            </w:r>
            <w:r w:rsidRPr="00EA6F25">
              <w:t>hin the Standards for Registered Training Organisations current at the time of assessment.</w:t>
            </w:r>
          </w:p>
          <w:p w:rsidR="00000000" w:rsidRPr="00EA6F25" w:rsidP="00EA6F25">
            <w:pPr>
              <w:pStyle w:val="BodyText"/>
            </w:pPr>
            <w:r w:rsidRPr="00EA6F25">
              <w:t>Assessment must occur in workplace operational situations where it is appropriate to do so; where this is not appropriate, assessment must occur in simulated workpla</w:t>
            </w:r>
            <w:r w:rsidRPr="00EA6F25">
              <w:t>ce operational situations that replicate workplace conditions.</w:t>
            </w:r>
          </w:p>
          <w:p w:rsidR="00000000" w:rsidRPr="00EA6F25" w:rsidP="00EA6F25">
            <w:pPr>
              <w:pStyle w:val="BodyText"/>
            </w:pPr>
            <w:r w:rsidRPr="00EA6F2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A6F25" w:rsidP="00EA6F25">
            <w:pPr>
              <w:pStyle w:val="BodyText"/>
            </w:pPr>
            <w:r w:rsidRPr="00EA6F25">
              <w:t xml:space="preserve">Resources for assessment </w:t>
            </w:r>
            <w:r w:rsidRPr="00EA6F25">
              <w:t>must include access to:</w:t>
            </w:r>
          </w:p>
          <w:p w:rsidR="00000000" w:rsidRPr="00EA6F25" w:rsidP="00EA6F25">
            <w:pPr>
              <w:pStyle w:val="ListBullet"/>
            </w:pPr>
            <w:r w:rsidRPr="00EA6F25">
              <w:t>relevant and appropriate materials, tools, equipment and personal protective equipment currently used in industry</w:t>
            </w:r>
          </w:p>
          <w:p w:rsidR="00000000" w:rsidRPr="00EA6F25" w:rsidP="00EA6F25">
            <w:pPr>
              <w:pStyle w:val="ListBullet"/>
            </w:pPr>
            <w:r w:rsidRPr="00EA6F25">
              <w:t>applicable documentation including legislation, regulations, codes of practice, workplace procedures and operation ma</w:t>
            </w:r>
            <w:r w:rsidRPr="00EA6F25">
              <w:t>nuals.</w:t>
            </w:r>
          </w:p>
        </w:tc>
      </w:tr>
    </w:tbl>
    <w:p w:rsidR="00000000" w:rsidRPr="00EA6F25" w:rsidP="00EA6F25">
      <w:pPr>
        <w:pStyle w:val="NoPaddingFontSize1"/>
      </w:pPr>
    </w:p>
    <w:p w:rsidR="00000000" w:rsidRPr="00EA6F25" w:rsidP="00EA6F25">
      <w:pPr>
        <w:pStyle w:val="AllowPageBreak"/>
      </w:pPr>
    </w:p>
    <w:p w:rsidR="00000000" w:rsidRPr="00EA6F25" w:rsidP="00EA6F25">
      <w:pPr>
        <w:pStyle w:val="Heading1"/>
      </w:pPr>
      <w:bookmarkStart w:id="5" w:name="O_1122674"/>
      <w:bookmarkEnd w:id="5"/>
      <w:r w:rsidRPr="00EA6F25">
        <w:t>Links</w:t>
      </w:r>
    </w:p>
    <w:p w:rsidR="00000000" w:rsidRPr="00EA6F25" w:rsidP="00E01B2C">
      <w:pPr>
        <w:pStyle w:val="BodyText"/>
      </w:pPr>
      <w:r w:rsidRPr="00EA6F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49F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A6F25" w:rsidP="00EA6F25"/>
    <w:sectPr w:rsidSect="00EA6F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25" w:rsidRPr="00E01B2C" w:rsidP="00E01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2C" w:rsidP="00EA6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B2C" w:rsidP="00EA6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1B2C" w:rsidP="00EA6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F25" w:rsidRPr="00E01B2C" w:rsidP="00E01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2C" w:rsidRPr="002D2AF8" w:rsidP="00EA6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NWPTRD006 Investigate trade waste incidents and non-compliances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01B2C" w:rsidP="00EA6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F4B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4F7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F25"/>
  </w:style>
  <w:style w:type="character" w:customStyle="1" w:styleId="Heading1Char">
    <w:name w:val="Heading 1 Char"/>
    <w:basedOn w:val="DefaultParagraphFont"/>
    <w:link w:val="Heading1"/>
    <w:rsid w:val="00EA6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F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F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6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6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F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6F25"/>
    <w:rPr>
      <w:b/>
      <w:spacing w:val="0"/>
    </w:rPr>
  </w:style>
  <w:style w:type="paragraph" w:customStyle="1" w:styleId="SuperTitle">
    <w:name w:val="SuperTitle"/>
    <w:basedOn w:val="Title"/>
    <w:rsid w:val="00EA6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F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F25"/>
    <w:rPr>
      <w:i/>
    </w:rPr>
  </w:style>
  <w:style w:type="paragraph" w:styleId="Caption">
    <w:name w:val="caption"/>
    <w:basedOn w:val="BodyText"/>
    <w:next w:val="Normal"/>
    <w:qFormat/>
    <w:rsid w:val="00EA6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F25"/>
  </w:style>
  <w:style w:type="paragraph" w:styleId="TableofFigures">
    <w:name w:val="table of figures"/>
    <w:basedOn w:val="Normal"/>
    <w:next w:val="Normal"/>
    <w:semiHidden/>
    <w:rsid w:val="00EA6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F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F25"/>
    <w:rPr>
      <w:rFonts w:ascii="Wingdings" w:hAnsi="Wingdings"/>
    </w:rPr>
  </w:style>
  <w:style w:type="paragraph" w:customStyle="1" w:styleId="TableHeading">
    <w:name w:val="Table Heading"/>
    <w:basedOn w:val="HeadingBase"/>
    <w:rsid w:val="00EA6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F25"/>
    <w:rPr>
      <w:color w:val="0033CC"/>
      <w:u w:val="none"/>
    </w:rPr>
  </w:style>
  <w:style w:type="paragraph" w:customStyle="1" w:styleId="BodyTextRight">
    <w:name w:val="Body Text Right"/>
    <w:basedOn w:val="BodyText"/>
    <w:rsid w:val="00EA6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F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F25"/>
    <w:rPr>
      <w:sz w:val="32"/>
    </w:rPr>
  </w:style>
  <w:style w:type="paragraph" w:customStyle="1" w:styleId="HeadingProcedure">
    <w:name w:val="Heading Procedure"/>
    <w:basedOn w:val="HeadingBase"/>
    <w:next w:val="Normal"/>
    <w:rsid w:val="00EA6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F25"/>
    <w:pPr>
      <w:spacing w:before="60" w:after="60"/>
    </w:pPr>
  </w:style>
  <w:style w:type="paragraph" w:styleId="ListContinue">
    <w:name w:val="List Continue"/>
    <w:basedOn w:val="List"/>
    <w:rsid w:val="00EA6F25"/>
    <w:pPr>
      <w:ind w:firstLine="0"/>
    </w:pPr>
  </w:style>
  <w:style w:type="paragraph" w:customStyle="1" w:styleId="ListNote">
    <w:name w:val="List Note"/>
    <w:basedOn w:val="List"/>
    <w:rsid w:val="00EA6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F25"/>
    <w:rPr>
      <w:rFonts w:ascii="Courier New" w:hAnsi="Courier New"/>
    </w:rPr>
  </w:style>
  <w:style w:type="paragraph" w:customStyle="1" w:styleId="NoteBullet">
    <w:name w:val="Note Bullet"/>
    <w:basedOn w:val="Note"/>
    <w:rsid w:val="00EA6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F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F25"/>
    <w:rPr>
      <w:b/>
      <w:smallCaps/>
    </w:rPr>
  </w:style>
  <w:style w:type="paragraph" w:customStyle="1" w:styleId="TableListNumber">
    <w:name w:val="Table List Number"/>
    <w:basedOn w:val="ListNumber"/>
    <w:rsid w:val="00EA6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F25"/>
    <w:pPr>
      <w:numPr>
        <w:numId w:val="8"/>
      </w:numPr>
    </w:pPr>
  </w:style>
  <w:style w:type="paragraph" w:customStyle="1" w:styleId="ListAlpha2">
    <w:name w:val="List Alpha 2"/>
    <w:basedOn w:val="List2"/>
    <w:rsid w:val="00EA6F25"/>
    <w:pPr>
      <w:numPr>
        <w:numId w:val="7"/>
      </w:numPr>
    </w:pPr>
  </w:style>
  <w:style w:type="paragraph" w:styleId="List2">
    <w:name w:val="List 2"/>
    <w:basedOn w:val="BodyText"/>
    <w:rsid w:val="00EA6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F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F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F25"/>
    <w:pPr>
      <w:numPr>
        <w:numId w:val="3"/>
      </w:numPr>
    </w:pPr>
  </w:style>
  <w:style w:type="paragraph" w:styleId="ListContinue2">
    <w:name w:val="List Continue 2"/>
    <w:basedOn w:val="List2"/>
    <w:rsid w:val="00EA6F25"/>
    <w:pPr>
      <w:ind w:firstLine="0"/>
    </w:pPr>
  </w:style>
  <w:style w:type="paragraph" w:styleId="ListContinue3">
    <w:name w:val="List Continue 3"/>
    <w:basedOn w:val="List3"/>
    <w:rsid w:val="00EA6F25"/>
    <w:pPr>
      <w:ind w:left="1021" w:firstLine="0"/>
    </w:pPr>
  </w:style>
  <w:style w:type="paragraph" w:styleId="ListContinue4">
    <w:name w:val="List Continue 4"/>
    <w:basedOn w:val="List4"/>
    <w:rsid w:val="00EA6F25"/>
    <w:pPr>
      <w:ind w:firstLine="0"/>
    </w:pPr>
  </w:style>
  <w:style w:type="paragraph" w:styleId="ListContinue5">
    <w:name w:val="List Continue 5"/>
    <w:basedOn w:val="List5"/>
    <w:rsid w:val="00EA6F25"/>
    <w:pPr>
      <w:ind w:firstLine="0"/>
    </w:pPr>
  </w:style>
  <w:style w:type="paragraph" w:styleId="ListNumber3">
    <w:name w:val="List Number 3"/>
    <w:basedOn w:val="List3"/>
    <w:rsid w:val="00EA6F25"/>
    <w:pPr>
      <w:numPr>
        <w:numId w:val="4"/>
      </w:numPr>
    </w:pPr>
  </w:style>
  <w:style w:type="paragraph" w:styleId="ListNumber4">
    <w:name w:val="List Number 4"/>
    <w:basedOn w:val="List4"/>
    <w:rsid w:val="00EA6F25"/>
    <w:pPr>
      <w:numPr>
        <w:numId w:val="5"/>
      </w:numPr>
    </w:pPr>
  </w:style>
  <w:style w:type="paragraph" w:styleId="ListNumber5">
    <w:name w:val="List Number 5"/>
    <w:basedOn w:val="List5"/>
    <w:rsid w:val="00EA6F25"/>
    <w:pPr>
      <w:numPr>
        <w:numId w:val="6"/>
      </w:numPr>
    </w:pPr>
  </w:style>
  <w:style w:type="paragraph" w:styleId="BlockText">
    <w:name w:val="Block Text"/>
    <w:basedOn w:val="Normal"/>
    <w:rsid w:val="00EA6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F25"/>
    <w:rPr>
      <w:sz w:val="16"/>
      <w:vertAlign w:val="superscript"/>
    </w:rPr>
  </w:style>
  <w:style w:type="character" w:customStyle="1" w:styleId="Symbols">
    <w:name w:val="Symbols"/>
    <w:basedOn w:val="DefaultParagraphFont"/>
    <w:rsid w:val="00EA6F25"/>
    <w:rPr>
      <w:rFonts w:ascii="Symbol" w:hAnsi="Symbol"/>
    </w:rPr>
  </w:style>
  <w:style w:type="character" w:customStyle="1" w:styleId="MenuOptions">
    <w:name w:val="Menu Options"/>
    <w:basedOn w:val="DefaultParagraphFont"/>
    <w:rsid w:val="00EA6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F25"/>
    <w:rPr>
      <w:b/>
    </w:rPr>
  </w:style>
  <w:style w:type="character" w:customStyle="1" w:styleId="Underlined">
    <w:name w:val="Underlined"/>
    <w:basedOn w:val="DefaultParagraphFont"/>
    <w:rsid w:val="00EA6F25"/>
    <w:rPr>
      <w:u w:val="single"/>
    </w:rPr>
  </w:style>
  <w:style w:type="paragraph" w:customStyle="1" w:styleId="TableBodyTextRight">
    <w:name w:val="Table Body Text Right"/>
    <w:basedOn w:val="TableBodyText"/>
    <w:rsid w:val="00EA6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F25"/>
    <w:rPr>
      <w:sz w:val="18"/>
    </w:rPr>
  </w:style>
  <w:style w:type="paragraph" w:customStyle="1" w:styleId="BodySmallRight">
    <w:name w:val="Body Small Right"/>
    <w:basedOn w:val="BodyTextRight"/>
    <w:rsid w:val="00EA6F25"/>
    <w:rPr>
      <w:sz w:val="18"/>
      <w:szCs w:val="18"/>
    </w:rPr>
  </w:style>
  <w:style w:type="paragraph" w:customStyle="1" w:styleId="MarginEdition">
    <w:name w:val="Margin Edition"/>
    <w:basedOn w:val="MarginNote"/>
    <w:rsid w:val="00EA6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F25"/>
    <w:rPr>
      <w:sz w:val="2"/>
      <w:szCs w:val="2"/>
    </w:rPr>
  </w:style>
  <w:style w:type="character" w:customStyle="1" w:styleId="Small">
    <w:name w:val="Small"/>
    <w:basedOn w:val="DefaultParagraphFont"/>
    <w:rsid w:val="00EA6F25"/>
    <w:rPr>
      <w:sz w:val="16"/>
    </w:rPr>
  </w:style>
  <w:style w:type="paragraph" w:customStyle="1" w:styleId="WideTable">
    <w:name w:val="Wide Table"/>
    <w:basedOn w:val="Normal"/>
    <w:rsid w:val="00EA6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F25"/>
  </w:style>
  <w:style w:type="paragraph" w:styleId="Quote">
    <w:name w:val="Quote"/>
    <w:basedOn w:val="Heading1"/>
    <w:link w:val="QuoteChar"/>
    <w:qFormat/>
    <w:rsid w:val="00EA6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F25"/>
    <w:pPr>
      <w:pageBreakBefore/>
    </w:pPr>
  </w:style>
  <w:style w:type="paragraph" w:customStyle="1" w:styleId="Border">
    <w:name w:val="Border"/>
    <w:basedOn w:val="Normal"/>
    <w:qFormat/>
    <w:rsid w:val="00EA6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F25"/>
    <w:rPr>
      <w:u w:val="single"/>
    </w:rPr>
  </w:style>
  <w:style w:type="character" w:customStyle="1" w:styleId="BoldandItalics">
    <w:name w:val="Bold and Italics"/>
    <w:qFormat/>
    <w:rsid w:val="00EA6F25"/>
    <w:rPr>
      <w:b/>
      <w:i/>
      <w:u w:val="none"/>
    </w:rPr>
  </w:style>
  <w:style w:type="paragraph" w:styleId="BalloonText">
    <w:name w:val="Balloon Text"/>
    <w:basedOn w:val="Normal"/>
    <w:link w:val="BalloonTextChar"/>
    <w:rsid w:val="00EA6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F25"/>
    <w:pPr>
      <w:spacing w:before="0" w:after="0"/>
    </w:pPr>
  </w:style>
  <w:style w:type="paragraph" w:customStyle="1" w:styleId="BodyTextBold">
    <w:name w:val="Body Text Bold"/>
    <w:basedOn w:val="BodyText"/>
    <w:qFormat/>
    <w:rsid w:val="00EA6F25"/>
    <w:rPr>
      <w:b/>
    </w:rPr>
  </w:style>
  <w:style w:type="character" w:styleId="Hyperlink">
    <w:name w:val="Hyperlink"/>
    <w:basedOn w:val="DefaultParagraphFont"/>
    <w:uiPriority w:val="99"/>
    <w:unhideWhenUsed/>
    <w:rsid w:val="00E01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3432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NWPTRD006 Investigate trade waste incidents and non-compliances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2022-12-07T02:16:00Z</dcterms:created>
  <dcterms:modified xsi:type="dcterms:W3CDTF">2022-12-07T02:16:00Z</dcterms:modified>
</cp:coreProperties>
</file>