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DE7" w:rsidP="00386D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NWPTRD005 Develop and modify trade waste policies and plans</w:t>
      </w:r>
      <w:r>
        <w:fldChar w:fldCharType="end"/>
      </w:r>
    </w:p>
    <w:p w:rsidR="00386DE7" w:rsidP="00386DE7">
      <w:pPr>
        <w:pStyle w:val="Version"/>
        <w:sectPr w:rsidSect="004A75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5DF" w:rsidP="004A75DF">
      <w:pPr>
        <w:pStyle w:val="SuperHeading"/>
      </w:pPr>
      <w:r w:rsidRPr="004A75DF">
        <w:t>NWPTRD005 Develop and modify trade waste policies and plans</w:t>
      </w:r>
    </w:p>
    <w:p w:rsidR="00000000" w:rsidRPr="004A75DF" w:rsidP="004A75DF">
      <w:pPr>
        <w:pStyle w:val="Heading1"/>
      </w:pPr>
      <w:bookmarkStart w:id="1" w:name="O_1011960"/>
      <w:bookmarkEnd w:id="1"/>
      <w:r w:rsidRPr="004A75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75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 w:rsidP="004A75DF">
            <w:pPr>
              <w:pStyle w:val="BodyText"/>
            </w:pPr>
            <w:r w:rsidRPr="004A75DF">
              <w:t>Release 1.  This is the first release of this unit of competency in the NWP National Water Training Package.</w:t>
            </w:r>
          </w:p>
        </w:tc>
      </w:tr>
    </w:tbl>
    <w:p w:rsidR="00000000" w:rsidRPr="004A75DF" w:rsidP="004A75DF">
      <w:pPr>
        <w:pStyle w:val="NoPaddingFontSize1"/>
      </w:pPr>
    </w:p>
    <w:p w:rsidR="00000000" w:rsidRPr="004A75DF" w:rsidP="004A75DF">
      <w:pPr>
        <w:pStyle w:val="AllowPageBreak"/>
      </w:pPr>
    </w:p>
    <w:p w:rsidR="00000000" w:rsidRPr="004A75DF" w:rsidP="004A75DF">
      <w:pPr>
        <w:pStyle w:val="Heading1"/>
      </w:pPr>
      <w:bookmarkStart w:id="2" w:name="O_1011961"/>
      <w:bookmarkEnd w:id="2"/>
      <w:r w:rsidRPr="004A75D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75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 w:rsidP="004A75DF">
            <w:pPr>
              <w:pStyle w:val="BodyText"/>
            </w:pPr>
            <w:r w:rsidRPr="004A75DF">
              <w:t xml:space="preserve">This unit involves the skills and knowledge required to develop and modify </w:t>
            </w:r>
            <w:r w:rsidRPr="004A75DF">
              <w:t>trade waste policies and plans.</w:t>
            </w:r>
          </w:p>
          <w:p w:rsidR="00000000" w:rsidRPr="004A75DF" w:rsidP="004A75DF">
            <w:pPr>
              <w:pStyle w:val="BodyText"/>
            </w:pPr>
            <w:r w:rsidRPr="004A75DF">
              <w:t xml:space="preserve">It includes planning, developing, modifying, reviewing and refining policies and plans for trade waste activities relating to liquid waste discharge to wastewater collection systems.  It also includes applying and complying </w:t>
            </w:r>
            <w:r w:rsidRPr="004A75DF">
              <w:t xml:space="preserve">with relevant legislation, regulations, industry standards and workplace policies and procedures. </w:t>
            </w:r>
          </w:p>
          <w:p w:rsidR="00000000" w:rsidRPr="004A75DF" w:rsidP="004A75DF">
            <w:pPr>
              <w:pStyle w:val="BodyText"/>
            </w:pPr>
            <w:r w:rsidRPr="004A75DF">
              <w:t>This unit applies to those working as leaders in water organisations with responsibility for the management of trade waste policies and plans. Those undertak</w:t>
            </w:r>
            <w:r w:rsidRPr="004A75DF">
              <w:t>ing this unit would work autonomously, leading staff, while performing sophisticated tasks in a range of familiar contexts.</w:t>
            </w:r>
          </w:p>
          <w:p w:rsidR="00000000" w:rsidRPr="004A75DF" w:rsidP="004A75DF">
            <w:pPr>
              <w:pStyle w:val="BodyText"/>
            </w:pPr>
            <w:r w:rsidRPr="004A75DF">
              <w:t>No licensing, legislative or certification requirements apply to unit at the time of publication.</w:t>
            </w:r>
          </w:p>
        </w:tc>
      </w:tr>
    </w:tbl>
    <w:p w:rsidR="00000000" w:rsidRPr="004A75DF" w:rsidP="004A75DF">
      <w:pPr>
        <w:pStyle w:val="NoPaddingFontSize1"/>
      </w:pPr>
    </w:p>
    <w:p w:rsidR="00000000" w:rsidRPr="004A75DF" w:rsidP="004A75DF">
      <w:pPr>
        <w:pStyle w:val="AllowPageBreak"/>
      </w:pPr>
    </w:p>
    <w:p w:rsidR="00000000" w:rsidRPr="004A75DF" w:rsidP="004A75DF">
      <w:pPr>
        <w:pStyle w:val="Heading1"/>
      </w:pPr>
      <w:bookmarkStart w:id="3" w:name="O_1011962"/>
      <w:bookmarkEnd w:id="3"/>
      <w:r w:rsidRPr="004A75DF">
        <w:t>Pre-requisite</w:t>
      </w:r>
      <w:r w:rsidRPr="004A75DF">
        <w:t xml:space="preserve">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75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 w:rsidP="004A75DF">
            <w:pPr>
              <w:pStyle w:val="BodyText"/>
            </w:pPr>
            <w:r w:rsidRPr="004A75DF">
              <w:t>Not applicable.</w:t>
            </w:r>
          </w:p>
        </w:tc>
      </w:tr>
    </w:tbl>
    <w:p w:rsidR="00000000" w:rsidRPr="004A75DF" w:rsidP="004A75DF">
      <w:pPr>
        <w:pStyle w:val="NoPaddingFontSize1"/>
      </w:pPr>
    </w:p>
    <w:p w:rsidR="00000000" w:rsidRPr="004A75DF" w:rsidP="004A75DF">
      <w:pPr>
        <w:pStyle w:val="AllowPageBreak"/>
      </w:pPr>
    </w:p>
    <w:p w:rsidR="00000000" w:rsidRPr="004A75DF" w:rsidP="004A75DF">
      <w:pPr>
        <w:pStyle w:val="Heading1"/>
      </w:pPr>
      <w:bookmarkStart w:id="4" w:name="O_1011963"/>
      <w:bookmarkEnd w:id="4"/>
      <w:r w:rsidRPr="004A75D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75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 w:rsidP="004A75DF">
            <w:pPr>
              <w:pStyle w:val="BodyText"/>
            </w:pPr>
            <w:r w:rsidRPr="004A75DF">
              <w:t>Trade waste</w:t>
            </w:r>
          </w:p>
        </w:tc>
      </w:tr>
    </w:tbl>
    <w:p w:rsidR="00000000" w:rsidRPr="004A75DF" w:rsidP="004A75DF">
      <w:pPr>
        <w:pStyle w:val="NoPaddingFontSize1"/>
      </w:pPr>
    </w:p>
    <w:p w:rsidR="00000000" w:rsidRPr="004A75DF" w:rsidP="004A75DF">
      <w:pPr>
        <w:pStyle w:val="AllowPageBreak"/>
      </w:pPr>
    </w:p>
    <w:p w:rsidR="00000000" w:rsidRPr="004A75DF" w:rsidP="004A75DF">
      <w:pPr>
        <w:pStyle w:val="Heading1"/>
      </w:pPr>
      <w:bookmarkStart w:id="5" w:name="O_1011964"/>
      <w:bookmarkEnd w:id="5"/>
      <w:r w:rsidRPr="004A75D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75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 w:rsidP="004A75DF">
            <w:pPr>
              <w:pStyle w:val="BodyText"/>
            </w:pPr>
            <w:r w:rsidRPr="004A75DF">
              <w:t>Not applicable.</w:t>
            </w:r>
          </w:p>
        </w:tc>
      </w:tr>
    </w:tbl>
    <w:p w:rsidR="00000000" w:rsidRPr="004A75DF" w:rsidP="004A75DF">
      <w:pPr>
        <w:pStyle w:val="NoPaddingFontSize1"/>
      </w:pPr>
    </w:p>
    <w:p w:rsidR="00000000" w:rsidRPr="004A75DF" w:rsidP="004A75DF">
      <w:pPr>
        <w:pStyle w:val="AllowPageBreak"/>
      </w:pPr>
    </w:p>
    <w:p w:rsidR="00000000" w:rsidRPr="004A75DF" w:rsidP="004A75DF">
      <w:pPr>
        <w:pStyle w:val="Heading1"/>
      </w:pPr>
      <w:bookmarkStart w:id="6" w:name="O_1011965"/>
      <w:bookmarkEnd w:id="6"/>
      <w:r w:rsidRPr="004A75D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A75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 w:rsidP="004A75DF">
            <w:pPr>
              <w:pStyle w:val="BodyText"/>
            </w:pPr>
            <w:r w:rsidRPr="004A75D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rPr>
                <w:rStyle w:val="SpecialBold"/>
              </w:rPr>
              <w:t>PERFORMANCE CRITERIA</w:t>
            </w:r>
          </w:p>
        </w:tc>
      </w:tr>
      <w:tr w:rsidTr="004A75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t>Performance criteria describe the performance needed to demonstrate achievement of the element.</w:t>
            </w:r>
          </w:p>
        </w:tc>
      </w:tr>
      <w:tr w:rsidTr="004A75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 w:rsidP="004A75DF">
            <w:pPr>
              <w:pStyle w:val="BodyText"/>
            </w:pPr>
            <w:r w:rsidRPr="004A75DF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 w:rsidP="004A75DF">
            <w:pPr>
              <w:pStyle w:val="BodyText"/>
            </w:pPr>
            <w:r w:rsidRPr="004A75DF">
              <w:rPr>
                <w:rStyle w:val="SpecialBold"/>
              </w:rPr>
              <w:t>Prepare for trade waste management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t>Identify and review relevant provisions of trade waste legislation, standards and enterprise policies</w:t>
            </w:r>
          </w:p>
        </w:tc>
      </w:tr>
      <w:tr w:rsidTr="004A75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t>Document trade waste policies and procedures</w:t>
            </w:r>
          </w:p>
        </w:tc>
      </w:tr>
      <w:tr w:rsidTr="004A75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t>Identify wastewater quality parameters generated by major industries</w:t>
            </w:r>
          </w:p>
        </w:tc>
      </w:tr>
      <w:tr w:rsidTr="004A75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t>Consider information about known impacts, risk assessments and control procedures in preparing plans</w:t>
            </w:r>
          </w:p>
        </w:tc>
      </w:tr>
      <w:tr w:rsidTr="004A75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t>Document responsibilities and accountabilities according to workplace procedures</w:t>
            </w:r>
          </w:p>
        </w:tc>
      </w:tr>
      <w:tr w:rsidTr="004A75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 w:rsidP="004A75DF">
            <w:pPr>
              <w:pStyle w:val="BodyText"/>
            </w:pPr>
            <w:r w:rsidRPr="004A75D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 w:rsidP="004A75DF">
            <w:pPr>
              <w:pStyle w:val="BodyText"/>
            </w:pPr>
            <w:r w:rsidRPr="004A75DF">
              <w:rPr>
                <w:rStyle w:val="SpecialBold"/>
              </w:rPr>
              <w:t>Develop and modify trade waste policies and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t>Conduct community, workplace and stakeholder consultation</w:t>
            </w:r>
          </w:p>
        </w:tc>
      </w:tr>
      <w:tr w:rsidTr="004A75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t>Address issues raised through consultation and incorp</w:t>
            </w:r>
            <w:r w:rsidRPr="004A75DF">
              <w:t>orate issues relevant to policy in policy development</w:t>
            </w:r>
          </w:p>
        </w:tc>
      </w:tr>
      <w:tr w:rsidTr="004A75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t>Identify and explain trade waste processes to stakeholders including treatment and disposal processes together with the required workplace procedures and relevant environmental factors</w:t>
            </w:r>
          </w:p>
        </w:tc>
      </w:tr>
      <w:tr w:rsidTr="004A75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t>Develop and modify contingency plans for major trade waste industries</w:t>
            </w:r>
          </w:p>
        </w:tc>
      </w:tr>
      <w:tr w:rsidTr="004A75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t>Summarise issues identified by reviews and audits in trade waste policies and plans</w:t>
            </w:r>
          </w:p>
        </w:tc>
      </w:tr>
      <w:tr w:rsidTr="004A75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t>Prepare and present trade waste policies and plans</w:t>
            </w:r>
          </w:p>
        </w:tc>
      </w:tr>
      <w:tr w:rsidTr="004A75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 w:rsidP="004A75DF">
            <w:pPr>
              <w:pStyle w:val="BodyText"/>
            </w:pPr>
            <w:r w:rsidRPr="004A75D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 w:rsidP="004A75DF">
            <w:pPr>
              <w:pStyle w:val="BodyText"/>
            </w:pPr>
            <w:r w:rsidRPr="004A75DF">
              <w:rPr>
                <w:rStyle w:val="SpecialBold"/>
              </w:rPr>
              <w:t>Review and refine trade waste policies and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t>Review trade waste policies against established objectives, policies and plans</w:t>
            </w:r>
          </w:p>
        </w:tc>
      </w:tr>
      <w:tr w:rsidTr="004A75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t>Review policies and plans through consultation, against prevailing stakeholder expectations</w:t>
            </w:r>
          </w:p>
        </w:tc>
      </w:tr>
      <w:tr w:rsidTr="004A75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t>Modify policies and plans to include identified and required changes</w:t>
            </w:r>
          </w:p>
        </w:tc>
      </w:tr>
      <w:tr w:rsidTr="004A75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5DF">
            <w:pPr>
              <w:pStyle w:val="BodyText"/>
              <w:rPr>
                <w:lang w:val="en-NZ"/>
              </w:rPr>
            </w:pPr>
            <w:r w:rsidRPr="004A75D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 w:rsidP="004A75DF">
            <w:pPr>
              <w:pStyle w:val="BodyText"/>
            </w:pPr>
            <w:r w:rsidRPr="004A75DF">
              <w:t>Benchmark policies, systems and plans against other water utilities</w:t>
            </w:r>
          </w:p>
        </w:tc>
      </w:tr>
    </w:tbl>
    <w:p w:rsidR="00000000" w:rsidRPr="004A75DF" w:rsidP="004A75DF">
      <w:pPr>
        <w:pStyle w:val="NoPaddingFontSize1"/>
      </w:pPr>
    </w:p>
    <w:p w:rsidR="00000000" w:rsidRPr="004A75DF" w:rsidP="004A75DF">
      <w:pPr>
        <w:pStyle w:val="AllowPageBreak"/>
      </w:pPr>
    </w:p>
    <w:p w:rsidR="00000000" w:rsidRPr="004A75DF" w:rsidP="004A75DF">
      <w:pPr>
        <w:pStyle w:val="Heading1"/>
      </w:pPr>
      <w:bookmarkStart w:id="7" w:name="O_1011966"/>
      <w:bookmarkEnd w:id="7"/>
      <w:r w:rsidRPr="004A75D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75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 w:rsidP="004A75DF">
            <w:pPr>
              <w:pStyle w:val="BodyText"/>
            </w:pPr>
            <w:r w:rsidRPr="004A75DF">
              <w:t>Foundation skills essential to performance are explicit in the performanc</w:t>
            </w:r>
            <w:r w:rsidRPr="004A75DF">
              <w:t>e criteria of this unit of competency.</w:t>
            </w:r>
          </w:p>
        </w:tc>
      </w:tr>
    </w:tbl>
    <w:p w:rsidR="00000000" w:rsidRPr="004A75DF" w:rsidP="004A75DF">
      <w:pPr>
        <w:pStyle w:val="NoPaddingFontSize1"/>
      </w:pPr>
    </w:p>
    <w:p w:rsidR="00000000" w:rsidRPr="004A75DF" w:rsidP="004A75DF">
      <w:pPr>
        <w:pStyle w:val="AllowPageBreak"/>
      </w:pPr>
    </w:p>
    <w:p w:rsidR="00000000" w:rsidRPr="004A75DF" w:rsidP="004A75DF">
      <w:pPr>
        <w:pStyle w:val="Heading1"/>
      </w:pPr>
      <w:bookmarkStart w:id="8" w:name="O_1011967"/>
      <w:bookmarkEnd w:id="8"/>
      <w:r w:rsidRPr="004A75D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75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 w:rsidP="004A75DF">
            <w:pPr>
              <w:pStyle w:val="BodyText"/>
            </w:pPr>
            <w:r w:rsidRPr="004A75DF">
              <w:t>Range is restricted to essential operating conditions and any other variables essential to the work environment.</w:t>
            </w:r>
          </w:p>
        </w:tc>
      </w:tr>
    </w:tbl>
    <w:p w:rsidR="00000000" w:rsidRPr="004A75DF" w:rsidP="004A75DF">
      <w:pPr>
        <w:pStyle w:val="NoPaddingFontSize1"/>
      </w:pPr>
    </w:p>
    <w:p w:rsidR="00000000" w:rsidRPr="004A75DF" w:rsidP="004A75DF">
      <w:pPr>
        <w:pStyle w:val="AllowPageBreak"/>
      </w:pPr>
    </w:p>
    <w:p w:rsidR="00000000" w:rsidRPr="004A75DF" w:rsidP="004A75DF">
      <w:pPr>
        <w:pStyle w:val="Heading1"/>
      </w:pPr>
      <w:bookmarkStart w:id="9" w:name="O_1011968"/>
      <w:bookmarkEnd w:id="9"/>
      <w:r w:rsidRPr="004A75D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75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5DF" w:rsidP="004A75DF">
            <w:pPr>
              <w:pStyle w:val="BodyText"/>
            </w:pPr>
            <w:r w:rsidRPr="004A75DF">
              <w:t>This unit replaces and is equivalent to NWPTRD022 Develop and modify trade waste policies and plans.</w:t>
            </w:r>
          </w:p>
        </w:tc>
      </w:tr>
    </w:tbl>
    <w:p w:rsidR="00000000" w:rsidRPr="004A75DF" w:rsidP="004A75DF">
      <w:pPr>
        <w:pStyle w:val="NoPaddingFontSize1"/>
      </w:pPr>
    </w:p>
    <w:p w:rsidR="00000000" w:rsidRPr="004A75DF" w:rsidP="004A75DF">
      <w:pPr>
        <w:pStyle w:val="AllowPageBreak"/>
      </w:pPr>
    </w:p>
    <w:p w:rsidR="00000000" w:rsidRPr="004A75DF" w:rsidP="004A75DF">
      <w:pPr>
        <w:pStyle w:val="Heading1"/>
      </w:pPr>
      <w:bookmarkStart w:id="10" w:name="O_1011975"/>
      <w:bookmarkEnd w:id="10"/>
      <w:r w:rsidRPr="004A75DF">
        <w:t>Links</w:t>
      </w:r>
    </w:p>
    <w:p w:rsidR="00000000" w:rsidRPr="004A75DF" w:rsidP="00386DE7">
      <w:pPr>
        <w:pStyle w:val="BodyText"/>
      </w:pPr>
      <w:r w:rsidRPr="004A75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9099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A75DF" w:rsidP="004A75DF"/>
    <w:sectPr w:rsidSect="004A75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5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5DF" w:rsidRPr="00386DE7" w:rsidP="00386D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5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DE7" w:rsidP="004A75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6DE7" w:rsidP="004A75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86DE7" w:rsidP="004A75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5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D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5DF" w:rsidRPr="00386DE7" w:rsidP="00386D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5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DE7" w:rsidRPr="002D2AF8" w:rsidP="004A75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NWPTRD005 Develop and modify trade waste policies and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386DE7" w:rsidP="004A75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5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5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5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5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5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5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5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5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5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5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5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5DF"/>
  </w:style>
  <w:style w:type="character" w:customStyle="1" w:styleId="Heading1Char">
    <w:name w:val="Heading 1 Char"/>
    <w:basedOn w:val="DefaultParagraphFont"/>
    <w:link w:val="Heading1"/>
    <w:rsid w:val="004A75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5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5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A75DF"/>
    <w:rPr>
      <w:b/>
      <w:spacing w:val="0"/>
    </w:rPr>
  </w:style>
  <w:style w:type="paragraph" w:customStyle="1" w:styleId="SuperHeading">
    <w:name w:val="SuperHeading"/>
    <w:basedOn w:val="Normal"/>
    <w:rsid w:val="004A75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5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A75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5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5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5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5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5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5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5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5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5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5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5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5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5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5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75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75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75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5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5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75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75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5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5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5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5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5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5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5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5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75DF"/>
    <w:rPr>
      <w:i/>
    </w:rPr>
  </w:style>
  <w:style w:type="paragraph" w:styleId="Caption">
    <w:name w:val="caption"/>
    <w:basedOn w:val="BodyText"/>
    <w:next w:val="Normal"/>
    <w:qFormat/>
    <w:rsid w:val="004A75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5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5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5DF"/>
  </w:style>
  <w:style w:type="paragraph" w:styleId="TableofFigures">
    <w:name w:val="table of figures"/>
    <w:basedOn w:val="Normal"/>
    <w:next w:val="Normal"/>
    <w:semiHidden/>
    <w:rsid w:val="004A75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5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A75DF"/>
    <w:rPr>
      <w:rFonts w:ascii="Wingdings" w:hAnsi="Wingdings"/>
    </w:rPr>
  </w:style>
  <w:style w:type="paragraph" w:customStyle="1" w:styleId="TableHeading">
    <w:name w:val="Table Heading"/>
    <w:basedOn w:val="HeadingBase"/>
    <w:rsid w:val="004A75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5DF"/>
    <w:rPr>
      <w:color w:val="0033CC"/>
      <w:u w:val="none"/>
    </w:rPr>
  </w:style>
  <w:style w:type="paragraph" w:customStyle="1" w:styleId="BodyTextRight">
    <w:name w:val="Body Text Right"/>
    <w:basedOn w:val="BodyText"/>
    <w:rsid w:val="004A75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5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5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5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5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5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5DF"/>
    <w:rPr>
      <w:sz w:val="32"/>
    </w:rPr>
  </w:style>
  <w:style w:type="paragraph" w:customStyle="1" w:styleId="HeadingProcedure">
    <w:name w:val="Heading Procedure"/>
    <w:basedOn w:val="HeadingBase"/>
    <w:next w:val="Normal"/>
    <w:rsid w:val="004A75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5DF"/>
    <w:pPr>
      <w:spacing w:before="60" w:after="60"/>
    </w:pPr>
  </w:style>
  <w:style w:type="paragraph" w:styleId="ListContinue">
    <w:name w:val="List Continue"/>
    <w:basedOn w:val="List"/>
    <w:rsid w:val="004A75DF"/>
    <w:pPr>
      <w:ind w:firstLine="0"/>
    </w:pPr>
  </w:style>
  <w:style w:type="paragraph" w:customStyle="1" w:styleId="ListNote">
    <w:name w:val="List Note"/>
    <w:basedOn w:val="List"/>
    <w:rsid w:val="004A75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5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5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5DF"/>
    <w:rPr>
      <w:rFonts w:ascii="Courier New" w:hAnsi="Courier New"/>
    </w:rPr>
  </w:style>
  <w:style w:type="paragraph" w:customStyle="1" w:styleId="NoteBullet">
    <w:name w:val="Note Bullet"/>
    <w:basedOn w:val="Note"/>
    <w:rsid w:val="004A75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5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5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5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5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A75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5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5DF"/>
    <w:rPr>
      <w:b/>
      <w:smallCaps/>
    </w:rPr>
  </w:style>
  <w:style w:type="paragraph" w:customStyle="1" w:styleId="TableListNumber">
    <w:name w:val="Table List Number"/>
    <w:basedOn w:val="ListNumber"/>
    <w:rsid w:val="004A75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5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5DF"/>
    <w:pPr>
      <w:numPr>
        <w:numId w:val="7"/>
      </w:numPr>
    </w:pPr>
  </w:style>
  <w:style w:type="paragraph" w:customStyle="1" w:styleId="ListAlpha2">
    <w:name w:val="List Alpha 2"/>
    <w:basedOn w:val="List2"/>
    <w:rsid w:val="004A75DF"/>
    <w:pPr>
      <w:numPr>
        <w:numId w:val="6"/>
      </w:numPr>
    </w:pPr>
  </w:style>
  <w:style w:type="paragraph" w:styleId="List2">
    <w:name w:val="List 2"/>
    <w:basedOn w:val="BodyText"/>
    <w:rsid w:val="004A75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5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5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5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5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5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75DF"/>
    <w:pPr>
      <w:numPr>
        <w:numId w:val="2"/>
      </w:numPr>
    </w:pPr>
  </w:style>
  <w:style w:type="paragraph" w:styleId="ListContinue2">
    <w:name w:val="List Continue 2"/>
    <w:basedOn w:val="List2"/>
    <w:rsid w:val="004A75DF"/>
    <w:pPr>
      <w:ind w:firstLine="0"/>
    </w:pPr>
  </w:style>
  <w:style w:type="paragraph" w:styleId="ListContinue3">
    <w:name w:val="List Continue 3"/>
    <w:basedOn w:val="List3"/>
    <w:rsid w:val="004A75DF"/>
    <w:pPr>
      <w:ind w:left="1021" w:firstLine="0"/>
    </w:pPr>
  </w:style>
  <w:style w:type="paragraph" w:styleId="ListContinue4">
    <w:name w:val="List Continue 4"/>
    <w:basedOn w:val="List4"/>
    <w:rsid w:val="004A75DF"/>
    <w:pPr>
      <w:ind w:firstLine="0"/>
    </w:pPr>
  </w:style>
  <w:style w:type="paragraph" w:styleId="ListContinue5">
    <w:name w:val="List Continue 5"/>
    <w:basedOn w:val="List5"/>
    <w:rsid w:val="004A75DF"/>
    <w:pPr>
      <w:ind w:firstLine="0"/>
    </w:pPr>
  </w:style>
  <w:style w:type="paragraph" w:styleId="ListNumber3">
    <w:name w:val="List Number 3"/>
    <w:basedOn w:val="List3"/>
    <w:rsid w:val="004A75DF"/>
    <w:pPr>
      <w:numPr>
        <w:numId w:val="3"/>
      </w:numPr>
    </w:pPr>
  </w:style>
  <w:style w:type="paragraph" w:styleId="ListNumber4">
    <w:name w:val="List Number 4"/>
    <w:basedOn w:val="List4"/>
    <w:rsid w:val="004A75DF"/>
    <w:pPr>
      <w:numPr>
        <w:numId w:val="4"/>
      </w:numPr>
    </w:pPr>
  </w:style>
  <w:style w:type="paragraph" w:styleId="ListNumber5">
    <w:name w:val="List Number 5"/>
    <w:basedOn w:val="List5"/>
    <w:rsid w:val="004A75DF"/>
    <w:pPr>
      <w:numPr>
        <w:numId w:val="5"/>
      </w:numPr>
    </w:pPr>
  </w:style>
  <w:style w:type="paragraph" w:styleId="BlockText">
    <w:name w:val="Block Text"/>
    <w:basedOn w:val="Normal"/>
    <w:rsid w:val="004A75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5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5DF"/>
    <w:rPr>
      <w:sz w:val="16"/>
      <w:vertAlign w:val="superscript"/>
    </w:rPr>
  </w:style>
  <w:style w:type="character" w:customStyle="1" w:styleId="Symbols">
    <w:name w:val="Symbols"/>
    <w:basedOn w:val="DefaultParagraphFont"/>
    <w:rsid w:val="004A75DF"/>
    <w:rPr>
      <w:rFonts w:ascii="Symbol" w:hAnsi="Symbol"/>
    </w:rPr>
  </w:style>
  <w:style w:type="character" w:customStyle="1" w:styleId="MenuOptions">
    <w:name w:val="Menu Options"/>
    <w:basedOn w:val="DefaultParagraphFont"/>
    <w:rsid w:val="004A75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5DF"/>
    <w:rPr>
      <w:b/>
    </w:rPr>
  </w:style>
  <w:style w:type="character" w:customStyle="1" w:styleId="Underlined">
    <w:name w:val="Underlined"/>
    <w:basedOn w:val="DefaultParagraphFont"/>
    <w:rsid w:val="004A75DF"/>
    <w:rPr>
      <w:u w:val="single"/>
    </w:rPr>
  </w:style>
  <w:style w:type="paragraph" w:customStyle="1" w:styleId="TableBodyTextRight">
    <w:name w:val="Table Body Text Right"/>
    <w:basedOn w:val="TableBodyText"/>
    <w:rsid w:val="004A75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5DF"/>
    <w:rPr>
      <w:sz w:val="18"/>
    </w:rPr>
  </w:style>
  <w:style w:type="paragraph" w:customStyle="1" w:styleId="BodySmallRight">
    <w:name w:val="Body Small Right"/>
    <w:basedOn w:val="BodyTextRight"/>
    <w:rsid w:val="004A75DF"/>
    <w:rPr>
      <w:sz w:val="18"/>
      <w:szCs w:val="18"/>
    </w:rPr>
  </w:style>
  <w:style w:type="paragraph" w:customStyle="1" w:styleId="MarginEdition">
    <w:name w:val="Margin Edition"/>
    <w:basedOn w:val="MarginNote"/>
    <w:rsid w:val="004A75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5DF"/>
    <w:rPr>
      <w:sz w:val="2"/>
      <w:szCs w:val="2"/>
    </w:rPr>
  </w:style>
  <w:style w:type="character" w:customStyle="1" w:styleId="Small">
    <w:name w:val="Small"/>
    <w:basedOn w:val="DefaultParagraphFont"/>
    <w:rsid w:val="004A75DF"/>
    <w:rPr>
      <w:sz w:val="16"/>
    </w:rPr>
  </w:style>
  <w:style w:type="paragraph" w:customStyle="1" w:styleId="WideTable">
    <w:name w:val="Wide Table"/>
    <w:basedOn w:val="Normal"/>
    <w:rsid w:val="004A75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5DF"/>
  </w:style>
  <w:style w:type="paragraph" w:styleId="Quote">
    <w:name w:val="Quote"/>
    <w:basedOn w:val="Heading1"/>
    <w:link w:val="QuoteChar"/>
    <w:qFormat/>
    <w:rsid w:val="004A75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5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5DF"/>
    <w:pPr>
      <w:pageBreakBefore/>
    </w:pPr>
  </w:style>
  <w:style w:type="paragraph" w:customStyle="1" w:styleId="Border">
    <w:name w:val="Border"/>
    <w:basedOn w:val="Normal"/>
    <w:qFormat/>
    <w:rsid w:val="004A75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5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5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5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5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5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5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5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5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5DF"/>
    <w:rPr>
      <w:u w:val="single"/>
    </w:rPr>
  </w:style>
  <w:style w:type="character" w:customStyle="1" w:styleId="BoldandItalics">
    <w:name w:val="Bold and Italics"/>
    <w:qFormat/>
    <w:rsid w:val="004A75DF"/>
    <w:rPr>
      <w:b/>
      <w:i/>
      <w:u w:val="none"/>
    </w:rPr>
  </w:style>
  <w:style w:type="paragraph" w:styleId="BalloonText">
    <w:name w:val="Balloon Text"/>
    <w:basedOn w:val="Normal"/>
    <w:link w:val="BalloonTextChar"/>
    <w:rsid w:val="004A75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5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5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5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5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5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5DF"/>
    <w:pPr>
      <w:spacing w:before="0" w:after="0"/>
    </w:pPr>
  </w:style>
  <w:style w:type="paragraph" w:customStyle="1" w:styleId="BodyTextBold">
    <w:name w:val="Body Text Bold"/>
    <w:basedOn w:val="BodyText"/>
    <w:qFormat/>
    <w:rsid w:val="004A75DF"/>
    <w:rPr>
      <w:b/>
    </w:rPr>
  </w:style>
  <w:style w:type="character" w:styleId="Hyperlink">
    <w:name w:val="Hyperlink"/>
    <w:basedOn w:val="DefaultParagraphFont"/>
    <w:uiPriority w:val="99"/>
    <w:unhideWhenUsed/>
    <w:rsid w:val="00386D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3125</Characters>
  <Application>Microsoft Office Word</Application>
  <DocSecurity>0</DocSecurity>
  <Lines>156</Lines>
  <Paragraphs>80</Paragraphs>
  <ScaleCrop>false</ScaleCrop>
  <Company>Author-it Software Corporation Ltd.</Company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NWPTRD005 Develop and modify trade waste policies and plans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2022-12-07T02:01:00Z</dcterms:created>
  <dcterms:modified xsi:type="dcterms:W3CDTF">2022-12-07T02:01:00Z</dcterms:modified>
</cp:coreProperties>
</file>