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8F" w:rsidP="00913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NWPTRD003 Evaluate, implement and monitor high risk trade waste discharge approvals</w:t>
      </w:r>
      <w:r>
        <w:fldChar w:fldCharType="end"/>
      </w:r>
    </w:p>
    <w:p w:rsidR="0091388F" w:rsidP="0091388F">
      <w:pPr>
        <w:pStyle w:val="Version"/>
        <w:sectPr w:rsidSect="00CD7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8D8" w:rsidP="00CD78D8">
      <w:pPr>
        <w:pStyle w:val="SuperHeading"/>
      </w:pPr>
      <w:r w:rsidRPr="00CD78D8">
        <w:t>NWPTRD003 Evaluate, implement and monitor high risk trade waste discharge approvals</w:t>
      </w:r>
    </w:p>
    <w:p w:rsidR="00000000" w:rsidRPr="00CD78D8" w:rsidP="00CD78D8">
      <w:pPr>
        <w:pStyle w:val="Heading1"/>
      </w:pPr>
      <w:bookmarkStart w:id="1" w:name="O_1011922"/>
      <w:bookmarkEnd w:id="1"/>
      <w:r w:rsidRPr="00CD78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Release 1.  This is the first release of this unit of competency in the NWP National Water Training Package.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2" w:name="O_1011923"/>
      <w:bookmarkEnd w:id="2"/>
      <w:r w:rsidRPr="00CD78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This unit involves the skills and knowledge required to evaluate, implement and monitor high risk trade waste discharge approvals.</w:t>
            </w:r>
          </w:p>
          <w:p w:rsidR="00000000" w:rsidRPr="00CD78D8" w:rsidP="00CD78D8">
            <w:pPr>
              <w:pStyle w:val="BodyText"/>
            </w:pPr>
            <w:r w:rsidRPr="00CD78D8">
              <w:t>It includes managing trade waste approvals from large and complex industrial organisations. It also includes adhe</w:t>
            </w:r>
            <w:r w:rsidRPr="00CD78D8">
              <w:t xml:space="preserve">ring to legislation, regulations, industry standards and workplace procedures. </w:t>
            </w:r>
          </w:p>
          <w:p w:rsidR="00000000" w:rsidRPr="00CD78D8" w:rsidP="00CD78D8">
            <w:pPr>
              <w:pStyle w:val="BodyText"/>
            </w:pPr>
            <w:r w:rsidRPr="00CD78D8">
              <w:t>This unit applies to those working as trade waste officers or inspectors with the responsibility for managing applications and approvals for high risk liquid trade waste discha</w:t>
            </w:r>
            <w:r w:rsidRPr="00CD78D8">
              <w:t xml:space="preserve">rges to wastewater collection systems. Those undertaking this unit would work autonomously while performing sophisticated tasks in a range of familiar contexts. </w:t>
            </w:r>
          </w:p>
          <w:p w:rsidR="00000000" w:rsidRPr="00CD78D8" w:rsidP="00CD78D8">
            <w:pPr>
              <w:pStyle w:val="BodyText"/>
            </w:pPr>
            <w:r w:rsidRPr="00CD78D8">
              <w:t>No licensing, legislative or certification requirements apply to unit at the time of publicati</w:t>
            </w:r>
            <w:r w:rsidRPr="00CD78D8">
              <w:t>on.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3" w:name="O_1011924"/>
      <w:bookmarkEnd w:id="3"/>
      <w:r w:rsidRPr="00CD78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Not applicable.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4" w:name="O_1011925"/>
      <w:bookmarkEnd w:id="4"/>
      <w:r w:rsidRPr="00CD78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Trade waste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5" w:name="O_1011926"/>
      <w:bookmarkEnd w:id="5"/>
      <w:r w:rsidRPr="00CD78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Not applicable.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6" w:name="O_1011927"/>
      <w:bookmarkEnd w:id="6"/>
      <w:r w:rsidRPr="00CD78D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PERFORMANCE CRITERIA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Performance criteria describe the performance needed to demonstrate achievement of the element.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 xml:space="preserve">Advise customers on trade waste approval </w:t>
            </w:r>
            <w:r w:rsidRPr="00CD78D8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 xml:space="preserve">Respond to customer queries regarding applications for </w:t>
            </w:r>
            <w:r w:rsidRPr="00CD78D8">
              <w:t>high risk trade waste approvals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Advise customers of the procedures involved in processing, approving and monitoring trade waste applications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Obtain and analyse work health and safety (WHS), environmental and sustainable energy practices and procedures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 xml:space="preserve">Evaluate trade waste discharges for new industries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Identify significant pollutants generated according to environmental legislation and w</w:t>
            </w:r>
            <w:r w:rsidRPr="00CD78D8">
              <w:t>orkplace procedures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Identify hazards, assess risks and implement control measures according to workplace procedures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Identify and evaluate trade waste management processes and workplace procedures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Develop and check contingency plans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Prepare trade waste management policies and plans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Assess applications for high risk trade waste discharge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 xml:space="preserve">Receive all relevant documentation and assess customer applications 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Assess applications against concentration, mass and flow limits, discharges of prohibited substances and local sewerage issues according to environmental issues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Assess proposed pre-treatment systems, monitoring, control systems and procedures for su</w:t>
            </w:r>
            <w:r w:rsidRPr="00CD78D8">
              <w:t>itability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Assess chemical storage, handling and spill prevention procedures and ensure compliance with relevant legislation and industry standards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Schedule and conduct on-site inspections according to workplace procedures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Implement approved trade waste discharge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Determine and assess approval conditions and discuss with customer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Estimate cost calculations and discuss with customers according to current charging policies and formulae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Monitor con</w:t>
            </w:r>
            <w:r w:rsidRPr="00CD78D8">
              <w:t xml:space="preserve">struction and commissioning activities to </w:t>
            </w:r>
            <w:r w:rsidRPr="00CD78D8">
              <w:t>ensure compliance with approvals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Determine monitoring activities and schedules and discuss with customer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Create and maintain database records including charging parameters and monitoring schedule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rPr>
                <w:rStyle w:val="SpecialBold"/>
              </w:rPr>
              <w:t>Monitor and review</w:t>
            </w:r>
            <w:r w:rsidRPr="00CD78D8">
              <w:t xml:space="preserve"> </w:t>
            </w:r>
            <w:r w:rsidRPr="00CD78D8">
              <w:rPr>
                <w:rStyle w:val="SpecialBold"/>
              </w:rPr>
              <w:t>trade waste treatment and disposal approvals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Monitor customer for compliance of trade waste treatment and discharge according to trade waste approvals and workplace requirements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t>Establish processes to identify and report non-c</w:t>
            </w:r>
            <w:r w:rsidRPr="00CD78D8">
              <w:t>ompliances with trade waste approvals to relevant stakeholders</w:t>
            </w:r>
          </w:p>
        </w:tc>
      </w:tr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8D8">
            <w:pPr>
              <w:pStyle w:val="BodyText"/>
              <w:rPr>
                <w:lang w:val="en-NZ"/>
              </w:rPr>
            </w:pPr>
            <w:r w:rsidRPr="00CD78D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Identify and implement enforcement measures and processes to manage identified non-compliances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7" w:name="O_1011928"/>
      <w:bookmarkEnd w:id="7"/>
      <w:r w:rsidRPr="00CD78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Foundation skills essential to performance are explicit in the performance criteria of this unit of competency.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8" w:name="O_1011929"/>
      <w:bookmarkEnd w:id="8"/>
      <w:r w:rsidRPr="00CD78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Range is restricted to essential operatin conditions and any other variables essential to the work envi</w:t>
            </w:r>
            <w:r w:rsidRPr="00CD78D8">
              <w:t>ronmnet.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9" w:name="O_1011930"/>
      <w:bookmarkEnd w:id="9"/>
      <w:r w:rsidRPr="00CD78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8D8" w:rsidP="00CD78D8">
            <w:pPr>
              <w:pStyle w:val="BodyText"/>
            </w:pPr>
            <w:r w:rsidRPr="00CD78D8">
              <w:t>This unit replaces and is equivalent to NWPTRD002 Evaluate, implement and monitor high-risk trade waste discharge approvals.</w:t>
            </w:r>
          </w:p>
        </w:tc>
      </w:tr>
    </w:tbl>
    <w:p w:rsidR="00000000" w:rsidRPr="00CD78D8" w:rsidP="00CD78D8">
      <w:pPr>
        <w:pStyle w:val="NoPaddingFontSize1"/>
      </w:pPr>
    </w:p>
    <w:p w:rsidR="00000000" w:rsidRPr="00CD78D8" w:rsidP="00CD78D8">
      <w:pPr>
        <w:pStyle w:val="AllowPageBreak"/>
      </w:pPr>
    </w:p>
    <w:p w:rsidR="00000000" w:rsidRPr="00CD78D8" w:rsidP="00CD78D8">
      <w:pPr>
        <w:pStyle w:val="Heading1"/>
      </w:pPr>
      <w:bookmarkStart w:id="10" w:name="O_1011937"/>
      <w:bookmarkEnd w:id="10"/>
      <w:r w:rsidRPr="00CD78D8">
        <w:t>Links</w:t>
      </w:r>
    </w:p>
    <w:p w:rsidR="00000000" w:rsidRPr="00CD78D8" w:rsidP="0091388F">
      <w:pPr>
        <w:pStyle w:val="BodyText"/>
      </w:pPr>
      <w:r w:rsidRPr="00CD7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E7C6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78D8" w:rsidP="00CD78D8"/>
    <w:sectPr w:rsidSect="00CD7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D8" w:rsidRPr="0091388F" w:rsidP="00913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8F" w:rsidP="00CD7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88F" w:rsidP="00CD7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388F" w:rsidP="00CD7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8D8" w:rsidRPr="0091388F" w:rsidP="00913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8F" w:rsidRPr="002D2AF8" w:rsidP="00CD7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NWPTRD003 Evaluate, implement and monitor high risk trade waste discharge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1388F" w:rsidP="00CD7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8D8"/>
  </w:style>
  <w:style w:type="character" w:customStyle="1" w:styleId="Heading1Char">
    <w:name w:val="Heading 1 Char"/>
    <w:basedOn w:val="DefaultParagraphFont"/>
    <w:link w:val="Heading1"/>
    <w:rsid w:val="00CD7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8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78D8"/>
    <w:rPr>
      <w:b/>
      <w:spacing w:val="0"/>
    </w:rPr>
  </w:style>
  <w:style w:type="paragraph" w:customStyle="1" w:styleId="SuperHeading">
    <w:name w:val="SuperHeading"/>
    <w:basedOn w:val="Normal"/>
    <w:rsid w:val="00CD7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7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8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8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8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8D8"/>
    <w:rPr>
      <w:i/>
    </w:rPr>
  </w:style>
  <w:style w:type="paragraph" w:styleId="Caption">
    <w:name w:val="caption"/>
    <w:basedOn w:val="BodyText"/>
    <w:next w:val="Normal"/>
    <w:qFormat/>
    <w:rsid w:val="00CD7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8D8"/>
  </w:style>
  <w:style w:type="paragraph" w:styleId="TableofFigures">
    <w:name w:val="table of figures"/>
    <w:basedOn w:val="Normal"/>
    <w:next w:val="Normal"/>
    <w:semiHidden/>
    <w:rsid w:val="00CD7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8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78D8"/>
    <w:rPr>
      <w:rFonts w:ascii="Wingdings" w:hAnsi="Wingdings"/>
    </w:rPr>
  </w:style>
  <w:style w:type="paragraph" w:customStyle="1" w:styleId="TableHeading">
    <w:name w:val="Table Heading"/>
    <w:basedOn w:val="HeadingBase"/>
    <w:rsid w:val="00CD7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8D8"/>
    <w:rPr>
      <w:color w:val="0033CC"/>
      <w:u w:val="none"/>
    </w:rPr>
  </w:style>
  <w:style w:type="paragraph" w:customStyle="1" w:styleId="BodyTextRight">
    <w:name w:val="Body Text Right"/>
    <w:basedOn w:val="BodyText"/>
    <w:rsid w:val="00CD7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8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8D8"/>
    <w:rPr>
      <w:sz w:val="32"/>
    </w:rPr>
  </w:style>
  <w:style w:type="paragraph" w:customStyle="1" w:styleId="HeadingProcedure">
    <w:name w:val="Heading Procedure"/>
    <w:basedOn w:val="HeadingBase"/>
    <w:next w:val="Normal"/>
    <w:rsid w:val="00CD7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8D8"/>
    <w:pPr>
      <w:spacing w:before="60" w:after="60"/>
    </w:pPr>
  </w:style>
  <w:style w:type="paragraph" w:styleId="ListContinue">
    <w:name w:val="List Continue"/>
    <w:basedOn w:val="List"/>
    <w:rsid w:val="00CD78D8"/>
    <w:pPr>
      <w:ind w:firstLine="0"/>
    </w:pPr>
  </w:style>
  <w:style w:type="paragraph" w:customStyle="1" w:styleId="ListNote">
    <w:name w:val="List Note"/>
    <w:basedOn w:val="List"/>
    <w:rsid w:val="00CD7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8D8"/>
    <w:rPr>
      <w:rFonts w:ascii="Courier New" w:hAnsi="Courier New"/>
    </w:rPr>
  </w:style>
  <w:style w:type="paragraph" w:customStyle="1" w:styleId="NoteBullet">
    <w:name w:val="Note Bullet"/>
    <w:basedOn w:val="Note"/>
    <w:rsid w:val="00CD7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8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7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8D8"/>
    <w:rPr>
      <w:b/>
      <w:smallCaps/>
    </w:rPr>
  </w:style>
  <w:style w:type="paragraph" w:customStyle="1" w:styleId="TableListNumber">
    <w:name w:val="Table List Number"/>
    <w:basedOn w:val="ListNumber"/>
    <w:rsid w:val="00CD7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8D8"/>
    <w:pPr>
      <w:numPr>
        <w:numId w:val="7"/>
      </w:numPr>
    </w:pPr>
  </w:style>
  <w:style w:type="paragraph" w:customStyle="1" w:styleId="ListAlpha2">
    <w:name w:val="List Alpha 2"/>
    <w:basedOn w:val="List2"/>
    <w:rsid w:val="00CD78D8"/>
    <w:pPr>
      <w:numPr>
        <w:numId w:val="6"/>
      </w:numPr>
    </w:pPr>
  </w:style>
  <w:style w:type="paragraph" w:styleId="List2">
    <w:name w:val="List 2"/>
    <w:basedOn w:val="BodyText"/>
    <w:rsid w:val="00CD7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8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8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78D8"/>
    <w:pPr>
      <w:numPr>
        <w:numId w:val="2"/>
      </w:numPr>
    </w:pPr>
  </w:style>
  <w:style w:type="paragraph" w:styleId="ListContinue2">
    <w:name w:val="List Continue 2"/>
    <w:basedOn w:val="List2"/>
    <w:rsid w:val="00CD78D8"/>
    <w:pPr>
      <w:ind w:firstLine="0"/>
    </w:pPr>
  </w:style>
  <w:style w:type="paragraph" w:styleId="ListContinue3">
    <w:name w:val="List Continue 3"/>
    <w:basedOn w:val="List3"/>
    <w:rsid w:val="00CD78D8"/>
    <w:pPr>
      <w:ind w:left="1021" w:firstLine="0"/>
    </w:pPr>
  </w:style>
  <w:style w:type="paragraph" w:styleId="ListContinue4">
    <w:name w:val="List Continue 4"/>
    <w:basedOn w:val="List4"/>
    <w:rsid w:val="00CD78D8"/>
    <w:pPr>
      <w:ind w:firstLine="0"/>
    </w:pPr>
  </w:style>
  <w:style w:type="paragraph" w:styleId="ListContinue5">
    <w:name w:val="List Continue 5"/>
    <w:basedOn w:val="List5"/>
    <w:rsid w:val="00CD78D8"/>
    <w:pPr>
      <w:ind w:firstLine="0"/>
    </w:pPr>
  </w:style>
  <w:style w:type="paragraph" w:styleId="ListNumber3">
    <w:name w:val="List Number 3"/>
    <w:basedOn w:val="List3"/>
    <w:rsid w:val="00CD78D8"/>
    <w:pPr>
      <w:numPr>
        <w:numId w:val="3"/>
      </w:numPr>
    </w:pPr>
  </w:style>
  <w:style w:type="paragraph" w:styleId="ListNumber4">
    <w:name w:val="List Number 4"/>
    <w:basedOn w:val="List4"/>
    <w:rsid w:val="00CD78D8"/>
    <w:pPr>
      <w:numPr>
        <w:numId w:val="4"/>
      </w:numPr>
    </w:pPr>
  </w:style>
  <w:style w:type="paragraph" w:styleId="ListNumber5">
    <w:name w:val="List Number 5"/>
    <w:basedOn w:val="List5"/>
    <w:rsid w:val="00CD78D8"/>
    <w:pPr>
      <w:numPr>
        <w:numId w:val="5"/>
      </w:numPr>
    </w:pPr>
  </w:style>
  <w:style w:type="paragraph" w:styleId="BlockText">
    <w:name w:val="Block Text"/>
    <w:basedOn w:val="Normal"/>
    <w:rsid w:val="00CD7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8D8"/>
    <w:rPr>
      <w:sz w:val="16"/>
      <w:vertAlign w:val="superscript"/>
    </w:rPr>
  </w:style>
  <w:style w:type="character" w:customStyle="1" w:styleId="Symbols">
    <w:name w:val="Symbols"/>
    <w:basedOn w:val="DefaultParagraphFont"/>
    <w:rsid w:val="00CD78D8"/>
    <w:rPr>
      <w:rFonts w:ascii="Symbol" w:hAnsi="Symbol"/>
    </w:rPr>
  </w:style>
  <w:style w:type="character" w:customStyle="1" w:styleId="MenuOptions">
    <w:name w:val="Menu Options"/>
    <w:basedOn w:val="DefaultParagraphFont"/>
    <w:rsid w:val="00CD7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8D8"/>
    <w:rPr>
      <w:b/>
    </w:rPr>
  </w:style>
  <w:style w:type="character" w:customStyle="1" w:styleId="Underlined">
    <w:name w:val="Underlined"/>
    <w:basedOn w:val="DefaultParagraphFont"/>
    <w:rsid w:val="00CD78D8"/>
    <w:rPr>
      <w:u w:val="single"/>
    </w:rPr>
  </w:style>
  <w:style w:type="paragraph" w:customStyle="1" w:styleId="TableBodyTextRight">
    <w:name w:val="Table Body Text Right"/>
    <w:basedOn w:val="TableBodyText"/>
    <w:rsid w:val="00CD7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8D8"/>
    <w:rPr>
      <w:sz w:val="18"/>
    </w:rPr>
  </w:style>
  <w:style w:type="paragraph" w:customStyle="1" w:styleId="BodySmallRight">
    <w:name w:val="Body Small Right"/>
    <w:basedOn w:val="BodyTextRight"/>
    <w:rsid w:val="00CD78D8"/>
    <w:rPr>
      <w:sz w:val="18"/>
      <w:szCs w:val="18"/>
    </w:rPr>
  </w:style>
  <w:style w:type="paragraph" w:customStyle="1" w:styleId="MarginEdition">
    <w:name w:val="Margin Edition"/>
    <w:basedOn w:val="MarginNote"/>
    <w:rsid w:val="00CD7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8D8"/>
    <w:rPr>
      <w:sz w:val="2"/>
      <w:szCs w:val="2"/>
    </w:rPr>
  </w:style>
  <w:style w:type="character" w:customStyle="1" w:styleId="Small">
    <w:name w:val="Small"/>
    <w:basedOn w:val="DefaultParagraphFont"/>
    <w:rsid w:val="00CD78D8"/>
    <w:rPr>
      <w:sz w:val="16"/>
    </w:rPr>
  </w:style>
  <w:style w:type="paragraph" w:customStyle="1" w:styleId="WideTable">
    <w:name w:val="Wide Table"/>
    <w:basedOn w:val="Normal"/>
    <w:rsid w:val="00CD7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8D8"/>
  </w:style>
  <w:style w:type="paragraph" w:styleId="Quote">
    <w:name w:val="Quote"/>
    <w:basedOn w:val="Heading1"/>
    <w:link w:val="QuoteChar"/>
    <w:qFormat/>
    <w:rsid w:val="00CD7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8D8"/>
    <w:pPr>
      <w:pageBreakBefore/>
    </w:pPr>
  </w:style>
  <w:style w:type="paragraph" w:customStyle="1" w:styleId="Border">
    <w:name w:val="Border"/>
    <w:basedOn w:val="Normal"/>
    <w:qFormat/>
    <w:rsid w:val="00CD7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8D8"/>
    <w:rPr>
      <w:u w:val="single"/>
    </w:rPr>
  </w:style>
  <w:style w:type="character" w:customStyle="1" w:styleId="BoldandItalics">
    <w:name w:val="Bold and Italics"/>
    <w:qFormat/>
    <w:rsid w:val="00CD78D8"/>
    <w:rPr>
      <w:b/>
      <w:i/>
      <w:u w:val="none"/>
    </w:rPr>
  </w:style>
  <w:style w:type="paragraph" w:styleId="BalloonText">
    <w:name w:val="Balloon Text"/>
    <w:basedOn w:val="Normal"/>
    <w:link w:val="BalloonTextChar"/>
    <w:rsid w:val="00CD7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8D8"/>
    <w:pPr>
      <w:spacing w:before="0" w:after="0"/>
    </w:pPr>
  </w:style>
  <w:style w:type="paragraph" w:customStyle="1" w:styleId="BodyTextBold">
    <w:name w:val="Body Text Bold"/>
    <w:basedOn w:val="BodyText"/>
    <w:qFormat/>
    <w:rsid w:val="00CD78D8"/>
    <w:rPr>
      <w:b/>
    </w:rPr>
  </w:style>
  <w:style w:type="character" w:styleId="Hyperlink">
    <w:name w:val="Hyperlink"/>
    <w:basedOn w:val="DefaultParagraphFont"/>
    <w:uiPriority w:val="99"/>
    <w:unhideWhenUsed/>
    <w:rsid w:val="00913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3949</Characters>
  <Application>Microsoft Office Word</Application>
  <DocSecurity>0</DocSecurity>
  <Lines>197</Lines>
  <Paragraphs>96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NWPTRD003 Evaluate, implement and monitor high risk trade waste discharge approvals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