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F5C" w:rsidP="009C7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NWPSOU014 Develop and implement catchment operational plans</w:t>
      </w:r>
      <w:r>
        <w:fldChar w:fldCharType="end"/>
      </w:r>
    </w:p>
    <w:p w:rsidR="009C7F5C" w:rsidP="009C7F5C">
      <w:pPr>
        <w:pStyle w:val="Version"/>
        <w:sectPr w:rsidSect="00007C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C2B" w:rsidP="00007C2B">
      <w:pPr>
        <w:pStyle w:val="SuperHeading"/>
      </w:pPr>
      <w:r w:rsidRPr="00007C2B">
        <w:t>Assessment Requirements for NWPSOU014 Develop and implement catchment operational plans</w:t>
      </w:r>
    </w:p>
    <w:p w:rsidR="00000000" w:rsidRPr="00007C2B" w:rsidP="00007C2B">
      <w:pPr>
        <w:pStyle w:val="Heading1"/>
      </w:pPr>
      <w:bookmarkStart w:id="1" w:name="O_747484"/>
      <w:bookmarkEnd w:id="1"/>
      <w:r w:rsidRPr="00007C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C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2B">
            <w:pPr>
              <w:pStyle w:val="TableHeading"/>
              <w:rPr>
                <w:lang w:val="en-NZ"/>
              </w:rPr>
            </w:pPr>
            <w:r w:rsidRPr="00007C2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2B">
            <w:pPr>
              <w:pStyle w:val="TableHeading"/>
              <w:rPr>
                <w:lang w:val="en-NZ"/>
              </w:rPr>
            </w:pPr>
            <w:r w:rsidRPr="00007C2B">
              <w:t>Comments</w:t>
            </w:r>
          </w:p>
        </w:tc>
      </w:tr>
      <w:tr w:rsidTr="009C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2B">
            <w:pPr>
              <w:pStyle w:val="BodyText"/>
              <w:rPr>
                <w:lang w:val="en-NZ"/>
              </w:rPr>
            </w:pPr>
            <w:r w:rsidRPr="00007C2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2B" w:rsidP="00007C2B">
            <w:pPr>
              <w:pStyle w:val="BodyText"/>
            </w:pPr>
            <w:r w:rsidRPr="00007C2B">
              <w:t xml:space="preserve">These Assessment Requirements were released in NWP Water Training Package release 1.0 and meet the Standards for Training Packages. </w:t>
            </w:r>
          </w:p>
          <w:p w:rsidR="00000000" w:rsidRPr="00007C2B" w:rsidP="00007C2B">
            <w:pPr>
              <w:pStyle w:val="BodyText"/>
            </w:pPr>
          </w:p>
          <w:p w:rsidR="00000000" w:rsidRPr="00007C2B" w:rsidP="00007C2B">
            <w:pPr>
              <w:pStyle w:val="ListBullet"/>
            </w:pPr>
            <w:r w:rsidRPr="00007C2B">
              <w:t>Assessment Requirements created drawing upon specified assessment information from superseded unit</w:t>
            </w:r>
          </w:p>
        </w:tc>
      </w:tr>
    </w:tbl>
    <w:p w:rsidR="00000000" w:rsidRPr="00007C2B" w:rsidP="00007C2B">
      <w:pPr>
        <w:pStyle w:val="BodyText"/>
      </w:pPr>
    </w:p>
    <w:p w:rsidR="00000000" w:rsidRPr="00007C2B" w:rsidP="00007C2B">
      <w:pPr>
        <w:pStyle w:val="AllowPageBreak"/>
      </w:pPr>
    </w:p>
    <w:p w:rsidR="00000000" w:rsidRPr="00007C2B" w:rsidP="00007C2B">
      <w:pPr>
        <w:pStyle w:val="Heading1"/>
      </w:pPr>
      <w:bookmarkStart w:id="2" w:name="O_747485"/>
      <w:bookmarkEnd w:id="2"/>
      <w:r w:rsidRPr="00007C2B">
        <w:t>Per</w:t>
      </w:r>
      <w:r w:rsidRPr="00007C2B">
        <w:t>formance Evidence</w:t>
      </w:r>
    </w:p>
    <w:p w:rsidR="00000000" w:rsidRPr="00007C2B" w:rsidP="009C7F5C">
      <w:pPr>
        <w:pStyle w:val="BodyText"/>
      </w:pPr>
      <w:r w:rsidRPr="00007C2B">
        <w:t>Evidence required to demonstrate competence must satisfy all of the requirements of the elements and performance criteria. If not otherwise specified the candidate must demonstrate evi</w:t>
      </w:r>
      <w:r w:rsidRPr="00007C2B">
        <w:t>dence of performance of the following on at least one occasion.</w:t>
      </w:r>
    </w:p>
    <w:p w:rsidR="00000000" w:rsidRPr="00007C2B" w:rsidP="00007C2B">
      <w:pPr>
        <w:pStyle w:val="ListBullet"/>
      </w:pPr>
      <w:r w:rsidRPr="00007C2B">
        <w:t>using safety equipment and personal protective equipment</w:t>
      </w:r>
    </w:p>
    <w:p w:rsidR="00000000" w:rsidRPr="00007C2B" w:rsidP="00007C2B">
      <w:pPr>
        <w:pStyle w:val="ListBullet"/>
      </w:pPr>
      <w:r w:rsidRPr="00007C2B">
        <w:t>identifying water quality risks and preparing protection strategies</w:t>
      </w:r>
    </w:p>
    <w:p w:rsidR="00000000" w:rsidRPr="00007C2B" w:rsidP="00007C2B">
      <w:pPr>
        <w:pStyle w:val="ListBullet"/>
      </w:pPr>
      <w:r w:rsidRPr="00007C2B">
        <w:t>coordinating and monitoring water storage catchment activities</w:t>
      </w:r>
    </w:p>
    <w:p w:rsidR="00000000" w:rsidRPr="00007C2B" w:rsidP="00007C2B">
      <w:pPr>
        <w:pStyle w:val="ListBullet"/>
      </w:pPr>
      <w:r w:rsidRPr="00007C2B">
        <w:t>ide</w:t>
      </w:r>
      <w:r w:rsidRPr="00007C2B">
        <w:t>ntifying catchment management requirements</w:t>
      </w:r>
    </w:p>
    <w:p w:rsidR="00000000" w:rsidRPr="00007C2B" w:rsidP="00007C2B">
      <w:pPr>
        <w:pStyle w:val="ListBullet"/>
      </w:pPr>
      <w:r w:rsidRPr="00007C2B">
        <w:t>identifying stakeholder requirements and environmental factors that impact on water storage catchment areas</w:t>
      </w:r>
    </w:p>
    <w:p w:rsidR="00000000" w:rsidRPr="00007C2B" w:rsidP="00007C2B">
      <w:pPr>
        <w:pStyle w:val="ListBullet"/>
      </w:pPr>
      <w:r w:rsidRPr="00007C2B">
        <w:t>implementing monitoring and testing programs</w:t>
      </w:r>
    </w:p>
    <w:p w:rsidR="00000000" w:rsidRPr="00007C2B" w:rsidP="00007C2B">
      <w:pPr>
        <w:pStyle w:val="ListBullet"/>
      </w:pPr>
      <w:r w:rsidRPr="00007C2B">
        <w:t>monitoring usage</w:t>
      </w:r>
    </w:p>
    <w:p w:rsidR="00000000" w:rsidRPr="00007C2B" w:rsidP="00007C2B">
      <w:pPr>
        <w:pStyle w:val="ListBullet"/>
      </w:pPr>
      <w:r w:rsidRPr="00007C2B">
        <w:t xml:space="preserve">investigating and reporting on breaches </w:t>
      </w:r>
    </w:p>
    <w:p w:rsidR="00000000" w:rsidRPr="00007C2B" w:rsidP="00007C2B">
      <w:pPr>
        <w:pStyle w:val="ListBullet"/>
      </w:pPr>
      <w:r w:rsidRPr="00007C2B">
        <w:t>re</w:t>
      </w:r>
      <w:r w:rsidRPr="00007C2B">
        <w:t>porting on monitoring activities</w:t>
      </w:r>
    </w:p>
    <w:p w:rsidR="00000000" w:rsidRPr="00007C2B" w:rsidP="00007C2B">
      <w:pPr>
        <w:pStyle w:val="AllowPageBreak"/>
      </w:pPr>
    </w:p>
    <w:p w:rsidR="00000000" w:rsidRPr="00007C2B" w:rsidP="00007C2B">
      <w:pPr>
        <w:pStyle w:val="Heading1"/>
      </w:pPr>
      <w:bookmarkStart w:id="3" w:name="O_747486"/>
      <w:bookmarkEnd w:id="3"/>
      <w:r w:rsidRPr="00007C2B">
        <w:t>Knowledge Evidence</w:t>
      </w:r>
    </w:p>
    <w:p w:rsidR="00000000" w:rsidRPr="00007C2B" w:rsidP="009C7F5C">
      <w:pPr>
        <w:pStyle w:val="BodyText"/>
      </w:pPr>
      <w:r w:rsidRPr="00007C2B">
        <w:t>Evidence required to demonstrate competence must satisfy all of the requirements of the elements and performance criteria. If not otherwise specified the depth of knowledge demonstrated m</w:t>
      </w:r>
      <w:r w:rsidRPr="00007C2B">
        <w:t>ust be appropriate to the job context of the candidate.</w:t>
      </w:r>
    </w:p>
    <w:p w:rsidR="00000000" w:rsidRPr="00007C2B" w:rsidP="00007C2B">
      <w:pPr>
        <w:pStyle w:val="ListBullet"/>
      </w:pPr>
      <w:r w:rsidRPr="00007C2B">
        <w:t>relevant historical records</w:t>
      </w:r>
    </w:p>
    <w:p w:rsidR="00000000" w:rsidRPr="00007C2B" w:rsidP="00007C2B">
      <w:pPr>
        <w:pStyle w:val="ListBullet"/>
      </w:pPr>
      <w:r w:rsidRPr="00007C2B">
        <w:t>relevant legislation, policies, procedures</w:t>
      </w:r>
    </w:p>
    <w:p w:rsidR="00000000" w:rsidRPr="00007C2B" w:rsidP="00007C2B">
      <w:pPr>
        <w:pStyle w:val="ListBullet"/>
      </w:pPr>
      <w:r w:rsidRPr="00007C2B">
        <w:t xml:space="preserve">relevant technical skills </w:t>
      </w:r>
    </w:p>
    <w:p w:rsidR="00000000" w:rsidRPr="00007C2B" w:rsidP="00007C2B">
      <w:pPr>
        <w:pStyle w:val="ListBullet"/>
      </w:pPr>
      <w:r w:rsidRPr="00007C2B">
        <w:t>coordination processes</w:t>
      </w:r>
    </w:p>
    <w:p w:rsidR="00000000" w:rsidRPr="00007C2B" w:rsidP="00007C2B">
      <w:pPr>
        <w:pStyle w:val="ListBullet"/>
      </w:pPr>
      <w:r w:rsidRPr="00007C2B">
        <w:t>system layout, processes</w:t>
      </w:r>
    </w:p>
    <w:p w:rsidR="00000000" w:rsidRPr="00007C2B" w:rsidP="00007C2B">
      <w:pPr>
        <w:pStyle w:val="ListBullet"/>
      </w:pPr>
      <w:r w:rsidRPr="00007C2B">
        <w:t>environmental aspects of catchment areas</w:t>
      </w:r>
    </w:p>
    <w:p w:rsidR="00000000" w:rsidRPr="00007C2B" w:rsidP="00007C2B">
      <w:pPr>
        <w:pStyle w:val="ListBullet"/>
      </w:pPr>
      <w:r w:rsidRPr="00007C2B">
        <w:t>hazardous su</w:t>
      </w:r>
      <w:r w:rsidRPr="00007C2B">
        <w:t>bstances handling</w:t>
      </w:r>
    </w:p>
    <w:p w:rsidR="00000000" w:rsidRPr="00007C2B" w:rsidP="00007C2B">
      <w:pPr>
        <w:pStyle w:val="ListBullet"/>
      </w:pPr>
      <w:r w:rsidRPr="00007C2B">
        <w:t>communication systems</w:t>
      </w:r>
    </w:p>
    <w:p w:rsidR="00000000" w:rsidRPr="00007C2B" w:rsidP="00007C2B">
      <w:pPr>
        <w:pStyle w:val="ListBullet"/>
      </w:pPr>
      <w:r w:rsidRPr="00007C2B">
        <w:t>risk management principles</w:t>
      </w:r>
    </w:p>
    <w:p w:rsidR="00000000" w:rsidRPr="00007C2B" w:rsidP="00007C2B">
      <w:pPr>
        <w:pStyle w:val="ListBullet"/>
      </w:pPr>
      <w:r w:rsidRPr="00007C2B">
        <w:t>risk factors and potential hazards involved with catchment area processes equipment operation, capacity and limitations</w:t>
      </w:r>
    </w:p>
    <w:p w:rsidR="00000000" w:rsidRPr="00007C2B" w:rsidP="00007C2B">
      <w:pPr>
        <w:pStyle w:val="ListBullet"/>
      </w:pPr>
      <w:r w:rsidRPr="00007C2B">
        <w:t>effects of weather and conditions on operation of catchment areas</w:t>
      </w:r>
    </w:p>
    <w:p w:rsidR="00000000" w:rsidRPr="00007C2B" w:rsidP="00007C2B">
      <w:pPr>
        <w:pStyle w:val="ListBullet"/>
      </w:pPr>
      <w:r w:rsidRPr="00007C2B">
        <w:t>pumping and valving systems</w:t>
      </w:r>
    </w:p>
    <w:p w:rsidR="00000000" w:rsidRPr="00007C2B" w:rsidP="00007C2B">
      <w:pPr>
        <w:pStyle w:val="ListBullet"/>
      </w:pPr>
      <w:r w:rsidRPr="00007C2B">
        <w:t>control systems</w:t>
      </w:r>
    </w:p>
    <w:p w:rsidR="00000000" w:rsidRPr="00007C2B" w:rsidP="00007C2B">
      <w:pPr>
        <w:pStyle w:val="ListBullet"/>
      </w:pPr>
      <w:r w:rsidRPr="00007C2B">
        <w:t>pest control specifications</w:t>
      </w:r>
    </w:p>
    <w:p w:rsidR="00000000" w:rsidRPr="00007C2B" w:rsidP="00007C2B">
      <w:pPr>
        <w:pStyle w:val="ListBullet"/>
      </w:pPr>
      <w:r w:rsidRPr="00007C2B">
        <w:t>customer expectations and requirements</w:t>
      </w:r>
    </w:p>
    <w:p w:rsidR="00000000" w:rsidRPr="00007C2B" w:rsidP="00007C2B">
      <w:pPr>
        <w:pStyle w:val="ListBullet"/>
      </w:pPr>
      <w:r w:rsidRPr="00007C2B">
        <w:t>catchment management issues, including:</w:t>
      </w:r>
    </w:p>
    <w:p w:rsidR="00000000" w:rsidRPr="00007C2B" w:rsidP="00007C2B">
      <w:pPr>
        <w:pStyle w:val="ListBullet2"/>
      </w:pPr>
      <w:r w:rsidRPr="00007C2B">
        <w:t>feral/native animals</w:t>
      </w:r>
    </w:p>
    <w:p w:rsidR="00000000" w:rsidRPr="00007C2B" w:rsidP="00007C2B">
      <w:pPr>
        <w:pStyle w:val="ListBullet2"/>
      </w:pPr>
      <w:r w:rsidRPr="00007C2B">
        <w:t>transfer of noxious weeds</w:t>
      </w:r>
    </w:p>
    <w:p w:rsidR="00000000" w:rsidRPr="00007C2B" w:rsidP="00007C2B">
      <w:pPr>
        <w:pStyle w:val="ListBullet2"/>
      </w:pPr>
      <w:r w:rsidRPr="00007C2B">
        <w:t>human interaction with the catchment including litter and</w:t>
      </w:r>
      <w:r w:rsidRPr="00007C2B">
        <w:t xml:space="preserve"> waste</w:t>
      </w:r>
    </w:p>
    <w:p w:rsidR="00000000" w:rsidRPr="00007C2B" w:rsidP="00007C2B">
      <w:pPr>
        <w:pStyle w:val="ListBullet2"/>
      </w:pPr>
      <w:r w:rsidRPr="00007C2B">
        <w:t>perimeter inspections</w:t>
      </w:r>
    </w:p>
    <w:p w:rsidR="00000000" w:rsidRPr="00007C2B" w:rsidP="00007C2B">
      <w:pPr>
        <w:pStyle w:val="ListBullet2"/>
      </w:pPr>
      <w:r w:rsidRPr="00007C2B">
        <w:t>fire management</w:t>
      </w:r>
    </w:p>
    <w:p w:rsidR="00000000" w:rsidRPr="00007C2B" w:rsidP="00007C2B">
      <w:pPr>
        <w:pStyle w:val="ListBullet2"/>
      </w:pPr>
      <w:r w:rsidRPr="00007C2B">
        <w:t>mimosa</w:t>
      </w:r>
    </w:p>
    <w:p w:rsidR="00000000" w:rsidRPr="00007C2B" w:rsidP="00007C2B">
      <w:pPr>
        <w:pStyle w:val="ListBullet2"/>
      </w:pPr>
      <w:r w:rsidRPr="00007C2B">
        <w:t>policing role</w:t>
      </w:r>
    </w:p>
    <w:p w:rsidR="00000000" w:rsidRPr="00007C2B" w:rsidP="00007C2B">
      <w:pPr>
        <w:pStyle w:val="ListBullet2"/>
      </w:pPr>
      <w:r w:rsidRPr="00007C2B">
        <w:t>conservation management</w:t>
      </w:r>
    </w:p>
    <w:p w:rsidR="00000000" w:rsidRPr="00007C2B" w:rsidP="00007C2B">
      <w:pPr>
        <w:pStyle w:val="ListBullet2"/>
      </w:pPr>
      <w:r w:rsidRPr="00007C2B">
        <w:t>remote community catchment areas</w:t>
      </w:r>
    </w:p>
    <w:p w:rsidR="00000000" w:rsidRPr="00007C2B" w:rsidP="00007C2B">
      <w:pPr>
        <w:pStyle w:val="AllowPageBreak"/>
      </w:pPr>
    </w:p>
    <w:p w:rsidR="00000000" w:rsidRPr="00007C2B" w:rsidP="00007C2B">
      <w:pPr>
        <w:pStyle w:val="Heading1"/>
      </w:pPr>
      <w:bookmarkStart w:id="4" w:name="O_747487"/>
      <w:bookmarkEnd w:id="4"/>
      <w:r w:rsidRPr="00007C2B">
        <w:t>Assessment Conditions</w:t>
      </w:r>
    </w:p>
    <w:p w:rsidR="00000000" w:rsidRPr="00007C2B" w:rsidP="009C7F5C">
      <w:pPr>
        <w:pStyle w:val="BodyText"/>
      </w:pPr>
      <w:r w:rsidRPr="00007C2B">
        <w:t xml:space="preserve">Competency should be assessed in an actual workplace or in a simulated environment, with access to equipment and infrastructure appropriate to the outcome. Competency should be demonstrated over time to ensure the candidate is assessed across a variety of </w:t>
      </w:r>
      <w:r w:rsidRPr="00007C2B">
        <w:t xml:space="preserve">situations. </w:t>
      </w:r>
    </w:p>
    <w:p w:rsidR="00000000" w:rsidRPr="00007C2B" w:rsidP="009C7F5C">
      <w:pPr>
        <w:pStyle w:val="BodyText"/>
      </w:pPr>
      <w:r w:rsidRPr="00007C2B">
        <w:t>Assessors must satisfy the NVR/AQTF mandatory competency requirements for assessors.</w:t>
      </w:r>
    </w:p>
    <w:p w:rsidR="00000000" w:rsidRPr="00007C2B" w:rsidP="00007C2B">
      <w:pPr>
        <w:pStyle w:val="Heading1"/>
      </w:pPr>
      <w:bookmarkStart w:id="5" w:name="O_747490"/>
      <w:bookmarkEnd w:id="5"/>
      <w:r w:rsidRPr="00007C2B">
        <w:t>Links</w:t>
      </w:r>
    </w:p>
    <w:p w:rsidR="00000000" w:rsidRPr="00007C2B" w:rsidP="009C7F5C">
      <w:pPr>
        <w:pStyle w:val="BodyText"/>
      </w:pPr>
      <w:r w:rsidRPr="00007C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13FB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07C2B" w:rsidP="009C7F5C">
      <w:pPr>
        <w:pStyle w:val="BodyText"/>
      </w:pPr>
      <w:r w:rsidRPr="00007C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13FB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07C2B" w:rsidP="009C7F5C">
      <w:pPr>
        <w:pStyle w:val="BodyText"/>
      </w:pPr>
      <w:r w:rsidRPr="00007C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13FB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07C2B" w:rsidP="009C7F5C">
      <w:pPr>
        <w:pStyle w:val="BodyText"/>
      </w:pPr>
      <w:r w:rsidRPr="00007C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13FB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07C2B" w:rsidP="00007C2B"/>
    <w:sectPr w:rsidSect="00007C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2B" w:rsidRPr="009C7F5C" w:rsidP="009C7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5C" w:rsidP="00007C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7F5C" w:rsidP="00007C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C7F5C" w:rsidP="00007C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C2B" w:rsidRPr="009C7F5C" w:rsidP="009C7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5C" w:rsidRPr="002D2AF8" w:rsidP="00007C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NWPSOU014 Develop and implement catchment operational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9C7F5C" w:rsidP="00007C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F44A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3CC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C415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C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C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C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C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C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C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C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C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C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C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C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C2B"/>
  </w:style>
  <w:style w:type="character" w:customStyle="1" w:styleId="Heading1Char">
    <w:name w:val="Heading 1 Char"/>
    <w:basedOn w:val="DefaultParagraphFont"/>
    <w:link w:val="Heading1"/>
    <w:rsid w:val="00007C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C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C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7C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7C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7C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07C2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07C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7C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C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C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C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C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C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C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C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C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C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C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C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C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C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7C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7C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7C2B"/>
    <w:rPr>
      <w:b/>
      <w:spacing w:val="0"/>
    </w:rPr>
  </w:style>
  <w:style w:type="paragraph" w:customStyle="1" w:styleId="SuperTitle">
    <w:name w:val="SuperTitle"/>
    <w:basedOn w:val="Title"/>
    <w:rsid w:val="00007C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C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C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7C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C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C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C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C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C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C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C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C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7C2B"/>
    <w:rPr>
      <w:i/>
    </w:rPr>
  </w:style>
  <w:style w:type="paragraph" w:styleId="Caption">
    <w:name w:val="caption"/>
    <w:basedOn w:val="BodyText"/>
    <w:next w:val="Normal"/>
    <w:qFormat/>
    <w:rsid w:val="00007C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C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C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C2B"/>
  </w:style>
  <w:style w:type="paragraph" w:styleId="TableofFigures">
    <w:name w:val="table of figures"/>
    <w:basedOn w:val="Normal"/>
    <w:next w:val="Normal"/>
    <w:semiHidden/>
    <w:rsid w:val="00007C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C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7C2B"/>
    <w:rPr>
      <w:rFonts w:ascii="Wingdings" w:hAnsi="Wingdings"/>
    </w:rPr>
  </w:style>
  <w:style w:type="character" w:customStyle="1" w:styleId="HotSpot">
    <w:name w:val="HotSpot"/>
    <w:rsid w:val="00007C2B"/>
    <w:rPr>
      <w:color w:val="0033CC"/>
      <w:u w:val="none"/>
    </w:rPr>
  </w:style>
  <w:style w:type="paragraph" w:customStyle="1" w:styleId="BodyTextRight">
    <w:name w:val="Body Text Right"/>
    <w:basedOn w:val="BodyText"/>
    <w:rsid w:val="00007C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C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C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C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C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C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C2B"/>
    <w:rPr>
      <w:sz w:val="32"/>
    </w:rPr>
  </w:style>
  <w:style w:type="paragraph" w:customStyle="1" w:styleId="HeadingProcedure">
    <w:name w:val="Heading Procedure"/>
    <w:basedOn w:val="HeadingBase"/>
    <w:next w:val="Normal"/>
    <w:rsid w:val="00007C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C2B"/>
    <w:pPr>
      <w:spacing w:before="60" w:after="60"/>
    </w:pPr>
  </w:style>
  <w:style w:type="paragraph" w:styleId="ListContinue">
    <w:name w:val="List Continue"/>
    <w:basedOn w:val="List"/>
    <w:rsid w:val="00007C2B"/>
    <w:pPr>
      <w:ind w:firstLine="0"/>
    </w:pPr>
  </w:style>
  <w:style w:type="paragraph" w:customStyle="1" w:styleId="ListNote">
    <w:name w:val="List Note"/>
    <w:basedOn w:val="List"/>
    <w:rsid w:val="00007C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C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C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C2B"/>
    <w:rPr>
      <w:rFonts w:ascii="Courier New" w:hAnsi="Courier New"/>
    </w:rPr>
  </w:style>
  <w:style w:type="paragraph" w:customStyle="1" w:styleId="NoteBullet">
    <w:name w:val="Note Bullet"/>
    <w:basedOn w:val="Note"/>
    <w:rsid w:val="00007C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C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C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C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C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7C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C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C2B"/>
    <w:rPr>
      <w:b/>
      <w:smallCaps/>
    </w:rPr>
  </w:style>
  <w:style w:type="paragraph" w:customStyle="1" w:styleId="TableListNumber">
    <w:name w:val="Table List Number"/>
    <w:basedOn w:val="ListNumber"/>
    <w:rsid w:val="00007C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C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C2B"/>
    <w:pPr>
      <w:numPr>
        <w:numId w:val="9"/>
      </w:numPr>
    </w:pPr>
  </w:style>
  <w:style w:type="paragraph" w:customStyle="1" w:styleId="ListAlpha2">
    <w:name w:val="List Alpha 2"/>
    <w:basedOn w:val="List2"/>
    <w:rsid w:val="00007C2B"/>
    <w:pPr>
      <w:numPr>
        <w:numId w:val="8"/>
      </w:numPr>
    </w:pPr>
  </w:style>
  <w:style w:type="paragraph" w:styleId="List2">
    <w:name w:val="List 2"/>
    <w:basedOn w:val="BodyText"/>
    <w:rsid w:val="00007C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C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C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C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C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C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7C2B"/>
    <w:pPr>
      <w:numPr>
        <w:numId w:val="4"/>
      </w:numPr>
    </w:pPr>
  </w:style>
  <w:style w:type="paragraph" w:styleId="ListContinue2">
    <w:name w:val="List Continue 2"/>
    <w:basedOn w:val="List2"/>
    <w:rsid w:val="00007C2B"/>
    <w:pPr>
      <w:ind w:firstLine="0"/>
    </w:pPr>
  </w:style>
  <w:style w:type="paragraph" w:styleId="ListContinue3">
    <w:name w:val="List Continue 3"/>
    <w:basedOn w:val="List3"/>
    <w:rsid w:val="00007C2B"/>
    <w:pPr>
      <w:ind w:left="1021" w:firstLine="0"/>
    </w:pPr>
  </w:style>
  <w:style w:type="paragraph" w:styleId="ListContinue4">
    <w:name w:val="List Continue 4"/>
    <w:basedOn w:val="List4"/>
    <w:rsid w:val="00007C2B"/>
    <w:pPr>
      <w:ind w:firstLine="0"/>
    </w:pPr>
  </w:style>
  <w:style w:type="paragraph" w:styleId="ListContinue5">
    <w:name w:val="List Continue 5"/>
    <w:basedOn w:val="List5"/>
    <w:rsid w:val="00007C2B"/>
    <w:pPr>
      <w:ind w:firstLine="0"/>
    </w:pPr>
  </w:style>
  <w:style w:type="paragraph" w:styleId="ListNumber3">
    <w:name w:val="List Number 3"/>
    <w:basedOn w:val="List3"/>
    <w:rsid w:val="00007C2B"/>
    <w:pPr>
      <w:numPr>
        <w:numId w:val="5"/>
      </w:numPr>
    </w:pPr>
  </w:style>
  <w:style w:type="paragraph" w:styleId="ListNumber4">
    <w:name w:val="List Number 4"/>
    <w:basedOn w:val="List4"/>
    <w:rsid w:val="00007C2B"/>
    <w:pPr>
      <w:numPr>
        <w:numId w:val="6"/>
      </w:numPr>
    </w:pPr>
  </w:style>
  <w:style w:type="paragraph" w:styleId="ListNumber5">
    <w:name w:val="List Number 5"/>
    <w:basedOn w:val="List5"/>
    <w:rsid w:val="00007C2B"/>
    <w:pPr>
      <w:numPr>
        <w:numId w:val="7"/>
      </w:numPr>
    </w:pPr>
  </w:style>
  <w:style w:type="paragraph" w:styleId="BlockText">
    <w:name w:val="Block Text"/>
    <w:basedOn w:val="Normal"/>
    <w:rsid w:val="00007C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C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C2B"/>
    <w:rPr>
      <w:sz w:val="16"/>
      <w:vertAlign w:val="superscript"/>
    </w:rPr>
  </w:style>
  <w:style w:type="character" w:customStyle="1" w:styleId="Symbols">
    <w:name w:val="Symbols"/>
    <w:basedOn w:val="DefaultParagraphFont"/>
    <w:rsid w:val="00007C2B"/>
    <w:rPr>
      <w:rFonts w:ascii="Symbol" w:hAnsi="Symbol"/>
    </w:rPr>
  </w:style>
  <w:style w:type="character" w:customStyle="1" w:styleId="MenuOptions">
    <w:name w:val="Menu Options"/>
    <w:basedOn w:val="DefaultParagraphFont"/>
    <w:rsid w:val="00007C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C2B"/>
    <w:rPr>
      <w:b/>
    </w:rPr>
  </w:style>
  <w:style w:type="character" w:customStyle="1" w:styleId="Underlined">
    <w:name w:val="Underlined"/>
    <w:basedOn w:val="DefaultParagraphFont"/>
    <w:rsid w:val="00007C2B"/>
    <w:rPr>
      <w:u w:val="single"/>
    </w:rPr>
  </w:style>
  <w:style w:type="paragraph" w:customStyle="1" w:styleId="TableBodyTextRight">
    <w:name w:val="Table Body Text Right"/>
    <w:basedOn w:val="TableBodyText"/>
    <w:rsid w:val="00007C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C2B"/>
    <w:rPr>
      <w:sz w:val="18"/>
    </w:rPr>
  </w:style>
  <w:style w:type="paragraph" w:customStyle="1" w:styleId="BodySmallRight">
    <w:name w:val="Body Small Right"/>
    <w:basedOn w:val="BodyTextRight"/>
    <w:rsid w:val="00007C2B"/>
    <w:rPr>
      <w:sz w:val="18"/>
      <w:szCs w:val="18"/>
    </w:rPr>
  </w:style>
  <w:style w:type="paragraph" w:customStyle="1" w:styleId="MarginEdition">
    <w:name w:val="Margin Edition"/>
    <w:basedOn w:val="MarginNote"/>
    <w:rsid w:val="00007C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C2B"/>
    <w:rPr>
      <w:sz w:val="2"/>
      <w:szCs w:val="2"/>
    </w:rPr>
  </w:style>
  <w:style w:type="character" w:customStyle="1" w:styleId="Small">
    <w:name w:val="Small"/>
    <w:basedOn w:val="DefaultParagraphFont"/>
    <w:rsid w:val="00007C2B"/>
    <w:rPr>
      <w:sz w:val="16"/>
    </w:rPr>
  </w:style>
  <w:style w:type="paragraph" w:customStyle="1" w:styleId="WideTable">
    <w:name w:val="Wide Table"/>
    <w:basedOn w:val="Normal"/>
    <w:rsid w:val="00007C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C2B"/>
  </w:style>
  <w:style w:type="paragraph" w:styleId="Quote">
    <w:name w:val="Quote"/>
    <w:basedOn w:val="Heading1"/>
    <w:link w:val="QuoteChar"/>
    <w:qFormat/>
    <w:rsid w:val="00007C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C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C2B"/>
    <w:pPr>
      <w:pageBreakBefore/>
    </w:pPr>
  </w:style>
  <w:style w:type="paragraph" w:customStyle="1" w:styleId="Border">
    <w:name w:val="Border"/>
    <w:basedOn w:val="Normal"/>
    <w:qFormat/>
    <w:rsid w:val="00007C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C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C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C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C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C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C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C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C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C2B"/>
    <w:rPr>
      <w:u w:val="single"/>
    </w:rPr>
  </w:style>
  <w:style w:type="character" w:customStyle="1" w:styleId="BoldandItalics">
    <w:name w:val="Bold and Italics"/>
    <w:qFormat/>
    <w:rsid w:val="00007C2B"/>
    <w:rPr>
      <w:b/>
      <w:i/>
      <w:u w:val="none"/>
    </w:rPr>
  </w:style>
  <w:style w:type="paragraph" w:styleId="BalloonText">
    <w:name w:val="Balloon Text"/>
    <w:basedOn w:val="Normal"/>
    <w:link w:val="BalloonTextChar"/>
    <w:rsid w:val="00007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C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C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C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C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C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C2B"/>
    <w:pPr>
      <w:spacing w:before="0" w:after="0"/>
    </w:pPr>
  </w:style>
  <w:style w:type="paragraph" w:customStyle="1" w:styleId="BodyTextBold">
    <w:name w:val="Body Text Bold"/>
    <w:basedOn w:val="BodyText"/>
    <w:qFormat/>
    <w:rsid w:val="00007C2B"/>
    <w:rPr>
      <w:b/>
    </w:rPr>
  </w:style>
  <w:style w:type="character" w:styleId="Hyperlink">
    <w:name w:val="Hyperlink"/>
    <w:basedOn w:val="DefaultParagraphFont"/>
    <w:uiPriority w:val="99"/>
    <w:unhideWhenUsed/>
    <w:rsid w:val="009C7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3316</Characters>
  <Application>Microsoft Office Word</Application>
  <DocSecurity>0</DocSecurity>
  <Lines>92</Lines>
  <Paragraphs>69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NWPSOU014 Develop and implement catchment operational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2021-01-22T01:00:00Z</dcterms:created>
  <dcterms:modified xsi:type="dcterms:W3CDTF">2021-01-22T01:00:00Z</dcterms:modified>
</cp:coreProperties>
</file>