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4BB7" w:rsidP="00D94B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NWPSOU011 Maintain catchment and surrounding areas</w:t>
      </w:r>
      <w:r>
        <w:fldChar w:fldCharType="end"/>
      </w:r>
    </w:p>
    <w:p w:rsidR="00D94BB7" w:rsidP="00D94BB7">
      <w:pPr>
        <w:pStyle w:val="Version"/>
        <w:sectPr w:rsidSect="00E266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26605" w:rsidP="00E26605">
      <w:pPr>
        <w:pStyle w:val="SuperHeading"/>
      </w:pPr>
      <w:r w:rsidRPr="00E26605">
        <w:t>NWPSOU011 Maintain catchment and surrounding areas</w:t>
      </w:r>
    </w:p>
    <w:p w:rsidR="00000000" w:rsidRPr="00E26605" w:rsidP="00E26605">
      <w:pPr>
        <w:pStyle w:val="Heading1"/>
      </w:pPr>
      <w:bookmarkStart w:id="1" w:name="O_746064"/>
      <w:bookmarkEnd w:id="1"/>
      <w:r w:rsidRPr="00E2660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D94B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605">
            <w:pPr>
              <w:pStyle w:val="TableHeading"/>
              <w:rPr>
                <w:lang w:val="en-NZ"/>
              </w:rPr>
            </w:pPr>
            <w:r w:rsidRPr="00E26605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605">
            <w:pPr>
              <w:pStyle w:val="TableHeading"/>
              <w:rPr>
                <w:lang w:val="en-NZ"/>
              </w:rPr>
            </w:pPr>
            <w:r w:rsidRPr="00E26605">
              <w:t>Comments</w:t>
            </w:r>
          </w:p>
        </w:tc>
      </w:tr>
      <w:tr w:rsidTr="00D94B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605">
            <w:pPr>
              <w:pStyle w:val="BodyText"/>
              <w:rPr>
                <w:lang w:val="en-NZ"/>
              </w:rPr>
            </w:pPr>
            <w:r w:rsidRPr="00E26605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605" w:rsidP="00E26605">
            <w:pPr>
              <w:pStyle w:val="BodyText"/>
            </w:pPr>
            <w:r w:rsidRPr="00E26605">
              <w:t xml:space="preserve">This unit was released in NWP Water Training Package release 1.0 and meets the Standards for Training Packages. </w:t>
            </w:r>
          </w:p>
          <w:p w:rsidR="00000000" w:rsidRPr="00E26605" w:rsidP="00E26605">
            <w:pPr>
              <w:pStyle w:val="BodyText"/>
            </w:pPr>
          </w:p>
          <w:p w:rsidR="00000000" w:rsidRPr="00E26605" w:rsidP="00E26605">
            <w:pPr>
              <w:pStyle w:val="BodyText"/>
            </w:pPr>
            <w:r w:rsidRPr="00E26605">
              <w:t>This unit supersedes and is equivalent to NWP247A Maintain catchment and surrounding areas.</w:t>
            </w:r>
          </w:p>
          <w:p w:rsidR="00000000" w:rsidRPr="00E26605" w:rsidP="00E26605">
            <w:pPr>
              <w:pStyle w:val="BodyText"/>
            </w:pPr>
          </w:p>
          <w:p w:rsidR="00000000" w:rsidRPr="00E26605" w:rsidP="00E26605">
            <w:pPr>
              <w:pStyle w:val="ListBullet"/>
            </w:pPr>
            <w:r w:rsidRPr="00E26605">
              <w:t>Unit code updated</w:t>
            </w:r>
          </w:p>
          <w:p w:rsidR="00000000" w:rsidRPr="00E26605" w:rsidP="00E26605">
            <w:pPr>
              <w:pStyle w:val="ListBullet"/>
            </w:pPr>
            <w:r w:rsidRPr="00E26605">
              <w:t>Content and formatting updated to comply with the new standards</w:t>
            </w:r>
          </w:p>
          <w:p w:rsidR="00000000" w:rsidRPr="00E26605" w:rsidP="00E26605">
            <w:pPr>
              <w:pStyle w:val="ListBullet"/>
            </w:pPr>
            <w:r w:rsidRPr="00E26605">
              <w:t>All PC transitioned from passive to active voice</w:t>
            </w:r>
          </w:p>
          <w:p w:rsidR="00000000" w:rsidRPr="00E26605" w:rsidP="00E26605">
            <w:pPr>
              <w:pStyle w:val="ListBullet"/>
            </w:pPr>
            <w:r w:rsidRPr="00E26605">
              <w:t>PC 3.2 reworded</w:t>
            </w:r>
          </w:p>
        </w:tc>
      </w:tr>
    </w:tbl>
    <w:p w:rsidR="00000000" w:rsidRPr="00E26605" w:rsidP="00E26605">
      <w:pPr>
        <w:pStyle w:val="BodyText"/>
      </w:pPr>
    </w:p>
    <w:p w:rsidR="00000000" w:rsidRPr="00E26605" w:rsidP="00E26605">
      <w:pPr>
        <w:pStyle w:val="AllowPageBreak"/>
      </w:pPr>
    </w:p>
    <w:p w:rsidR="00000000" w:rsidRPr="00E26605" w:rsidP="00E26605">
      <w:pPr>
        <w:pStyle w:val="Heading1"/>
      </w:pPr>
      <w:bookmarkStart w:id="2" w:name="O_746065"/>
      <w:bookmarkEnd w:id="2"/>
      <w:r w:rsidRPr="00E26605">
        <w:t>Application</w:t>
      </w:r>
    </w:p>
    <w:p w:rsidR="00000000" w:rsidRPr="00E26605" w:rsidP="00D94BB7">
      <w:pPr>
        <w:pStyle w:val="BodyText"/>
      </w:pPr>
      <w:r w:rsidRPr="00E26605">
        <w:t xml:space="preserve">This unit of competency describes the skills required to maintain </w:t>
      </w:r>
      <w:r w:rsidRPr="00E26605">
        <w:t>surface catchment areas and associated rivers, lakes, water bodies, dams, water storages and groundwater areas in a manner that meets organisational standards and contributes to the maintenance of water quality, and the protection of the environment and th</w:t>
      </w:r>
      <w:r w:rsidRPr="00E26605">
        <w:t>e public. The ability to maintain environmental conditions, undertake maintenance and report outcomes is essential to performance.</w:t>
      </w:r>
    </w:p>
    <w:p w:rsidR="00000000" w:rsidRPr="00E26605" w:rsidP="00D94BB7">
      <w:pPr>
        <w:pStyle w:val="BodyText"/>
      </w:pPr>
      <w:r w:rsidRPr="00E26605">
        <w:t>This unit applies to those working as field staff with specific responsibility for maintaining catchment and surrounding are</w:t>
      </w:r>
      <w:r w:rsidRPr="00E26605">
        <w:t>as and contributing to catchment management and control.</w:t>
      </w:r>
    </w:p>
    <w:p w:rsidR="00000000" w:rsidRPr="00E26605" w:rsidP="00D94BB7">
      <w:pPr>
        <w:pStyle w:val="BodyText"/>
      </w:pPr>
      <w:r w:rsidRPr="00E26605">
        <w:t>The skills and knowledge described in this unit must be applied within the legislative, regulatory and policy environment in which they are carried out. Organisational policies and procedures must b</w:t>
      </w:r>
      <w:r w:rsidRPr="00E26605">
        <w:t>e consulted and adhered to, particularly those related to WHS, catchment security and catchment emergency response.</w:t>
      </w:r>
    </w:p>
    <w:p w:rsidR="00000000" w:rsidRPr="00E26605" w:rsidP="00D94BB7">
      <w:pPr>
        <w:pStyle w:val="BodyText"/>
      </w:pPr>
      <w:r w:rsidRPr="00E26605">
        <w:t>Those undertaking this unit would work independently or in a team, while performing routine tasks in range of familiar contexts.</w:t>
      </w:r>
    </w:p>
    <w:p w:rsidR="00000000" w:rsidRPr="00E26605" w:rsidP="00D94BB7">
      <w:pPr>
        <w:pStyle w:val="BodyText"/>
      </w:pPr>
      <w:r w:rsidRPr="00E26605">
        <w:t>No licens</w:t>
      </w:r>
      <w:r w:rsidRPr="00E26605">
        <w:t>ing, legislative or certification requirements apply to unit at the time of publication.</w:t>
      </w:r>
    </w:p>
    <w:p w:rsidR="00000000" w:rsidRPr="00E26605" w:rsidP="00E26605">
      <w:pPr>
        <w:pStyle w:val="Heading1"/>
      </w:pPr>
      <w:bookmarkStart w:id="3" w:name="O_746067"/>
      <w:bookmarkEnd w:id="3"/>
      <w:r w:rsidRPr="00E26605">
        <w:t>Competency Field</w:t>
      </w:r>
    </w:p>
    <w:p w:rsidR="00000000" w:rsidRPr="00E26605" w:rsidP="00D94BB7">
      <w:pPr>
        <w:pStyle w:val="BodyText"/>
      </w:pPr>
      <w:r w:rsidRPr="00E26605">
        <w:t>Source</w:t>
      </w:r>
    </w:p>
    <w:p w:rsidR="00000000" w:rsidRPr="00E26605" w:rsidP="00E26605">
      <w:pPr>
        <w:pStyle w:val="Heading1"/>
      </w:pPr>
      <w:bookmarkStart w:id="4" w:name="O_746069"/>
      <w:bookmarkEnd w:id="4"/>
      <w:r w:rsidRPr="00E2660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6912"/>
      </w:tblGrid>
      <w:tr w:rsidTr="00E266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605">
            <w:pPr>
              <w:pStyle w:val="TableHeading"/>
              <w:rPr>
                <w:lang w:val="en-NZ"/>
              </w:rPr>
            </w:pPr>
            <w:r w:rsidRPr="00E26605">
              <w:t>ELEMENTS</w:t>
            </w:r>
          </w:p>
        </w:tc>
        <w:tc>
          <w:tcPr>
            <w:tcW w:w="6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605">
            <w:pPr>
              <w:pStyle w:val="TableHeading"/>
              <w:rPr>
                <w:lang w:val="en-NZ"/>
              </w:rPr>
            </w:pPr>
            <w:r w:rsidRPr="00E26605">
              <w:t>PERFORMANCE CRITERIA</w:t>
            </w:r>
          </w:p>
        </w:tc>
      </w:tr>
      <w:tr w:rsidTr="00E266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605">
            <w:pPr>
              <w:pStyle w:val="BodyText"/>
              <w:rPr>
                <w:lang w:val="en-NZ"/>
              </w:rPr>
            </w:pPr>
            <w:r w:rsidRPr="00E26605">
              <w:t>Elements describe the essential outcomes</w:t>
            </w:r>
          </w:p>
        </w:tc>
        <w:tc>
          <w:tcPr>
            <w:tcW w:w="6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605">
            <w:pPr>
              <w:pStyle w:val="BodyText"/>
              <w:rPr>
                <w:lang w:val="en-NZ"/>
              </w:rPr>
            </w:pPr>
            <w:r w:rsidRPr="00E26605">
              <w:t>Performance criteria describe the performance needed to demonstrate achievement of the element. Where bold italicised text is used, further information is detailed in the range of conditions section.</w:t>
            </w:r>
          </w:p>
        </w:tc>
      </w:tr>
      <w:tr w:rsidTr="00E266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605">
            <w:pPr>
              <w:pStyle w:val="List"/>
              <w:rPr>
                <w:lang w:val="en-NZ"/>
              </w:rPr>
            </w:pPr>
            <w:r w:rsidRPr="00E26605">
              <w:rPr>
                <w:rStyle w:val="SpecialBold"/>
              </w:rPr>
              <w:t>1.</w:t>
            </w:r>
            <w:r w:rsidRPr="00E26605">
              <w:rPr>
                <w:rStyle w:val="SpecialBold"/>
              </w:rPr>
              <w:tab/>
              <w:t>Prepare for work</w:t>
            </w:r>
          </w:p>
        </w:tc>
        <w:tc>
          <w:tcPr>
            <w:tcW w:w="6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605" w:rsidP="00E26605">
            <w:pPr>
              <w:pStyle w:val="List"/>
            </w:pPr>
            <w:r w:rsidRPr="00E26605">
              <w:t>1.1</w:t>
            </w:r>
            <w:r w:rsidRPr="00E26605">
              <w:tab/>
              <w:t>Access and review catchment ins</w:t>
            </w:r>
            <w:r w:rsidRPr="00E26605">
              <w:t>pection records describing maintenance requirements for action.</w:t>
            </w:r>
          </w:p>
          <w:p w:rsidR="00000000" w:rsidRPr="00E26605" w:rsidP="00E26605">
            <w:pPr>
              <w:pStyle w:val="List"/>
            </w:pPr>
            <w:r w:rsidRPr="00E26605">
              <w:t>1.2</w:t>
            </w:r>
            <w:r w:rsidRPr="00E26605">
              <w:tab/>
              <w:t>Identify and apply work requirements and timelines for performing maintenance tasks of catchments and surrounding areas.</w:t>
            </w:r>
          </w:p>
          <w:p w:rsidR="00000000" w:rsidRPr="00E26605" w:rsidP="00E26605">
            <w:pPr>
              <w:pStyle w:val="List"/>
            </w:pPr>
            <w:r w:rsidRPr="00E26605">
              <w:t>1.3</w:t>
            </w:r>
            <w:r w:rsidRPr="00E26605">
              <w:tab/>
              <w:t>Assess site, equipment and methods to be used for risks and app</w:t>
            </w:r>
            <w:r w:rsidRPr="00E26605">
              <w:t>ly appropriate control measures.</w:t>
            </w:r>
          </w:p>
          <w:p w:rsidR="00000000" w:rsidP="00E26605">
            <w:pPr>
              <w:pStyle w:val="List"/>
              <w:rPr>
                <w:lang w:val="en-NZ"/>
              </w:rPr>
            </w:pPr>
            <w:r w:rsidRPr="00E26605">
              <w:t>1.4</w:t>
            </w:r>
            <w:r w:rsidRPr="00E26605">
              <w:tab/>
              <w:t>Plan maintenance work to be conducted within required timeframe, using allocated resources.</w:t>
            </w:r>
          </w:p>
        </w:tc>
      </w:tr>
      <w:tr w:rsidTr="00E266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605">
            <w:pPr>
              <w:pStyle w:val="List"/>
              <w:rPr>
                <w:lang w:val="en-NZ"/>
              </w:rPr>
            </w:pPr>
            <w:r w:rsidRPr="00E26605">
              <w:rPr>
                <w:rStyle w:val="SpecialBold"/>
              </w:rPr>
              <w:t>2.</w:t>
            </w:r>
            <w:r w:rsidRPr="00E26605">
              <w:rPr>
                <w:rStyle w:val="SpecialBold"/>
              </w:rPr>
              <w:tab/>
              <w:t>Maintain environmental condition of waterways and surrounding areas</w:t>
            </w:r>
          </w:p>
        </w:tc>
        <w:tc>
          <w:tcPr>
            <w:tcW w:w="6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605" w:rsidP="00E26605">
            <w:pPr>
              <w:pStyle w:val="List"/>
            </w:pPr>
            <w:r w:rsidRPr="00E26605">
              <w:t>2.1</w:t>
            </w:r>
            <w:r w:rsidRPr="00E26605">
              <w:tab/>
              <w:t>Remove and dispose of dead livestock or native faun</w:t>
            </w:r>
            <w:r w:rsidRPr="00E26605">
              <w:t xml:space="preserve">a from waterways and surrounding catchments. </w:t>
            </w:r>
          </w:p>
          <w:p w:rsidR="00000000" w:rsidRPr="00E26605" w:rsidP="00E26605">
            <w:pPr>
              <w:pStyle w:val="List"/>
            </w:pPr>
            <w:r w:rsidRPr="00E26605">
              <w:t>2.2</w:t>
            </w:r>
            <w:r w:rsidRPr="00E26605">
              <w:tab/>
              <w:t xml:space="preserve">Remove flood debris from waterways and surrounding areas. </w:t>
            </w:r>
          </w:p>
          <w:p w:rsidR="00000000" w:rsidRPr="00E26605" w:rsidP="00E26605">
            <w:pPr>
              <w:pStyle w:val="List"/>
            </w:pPr>
            <w:r w:rsidRPr="00E26605">
              <w:t>2.3</w:t>
            </w:r>
            <w:r w:rsidRPr="00E26605">
              <w:tab/>
              <w:t>Carry out fuel reduction burns.</w:t>
            </w:r>
          </w:p>
          <w:p w:rsidR="00000000" w:rsidRPr="00E26605" w:rsidP="00E26605">
            <w:pPr>
              <w:pStyle w:val="List"/>
            </w:pPr>
            <w:r w:rsidRPr="00E26605">
              <w:t>2.4</w:t>
            </w:r>
            <w:r w:rsidRPr="00E26605">
              <w:tab/>
              <w:t>Apply basic control measures to contain or control chemical spills or contaminated water supplies.</w:t>
            </w:r>
          </w:p>
          <w:p w:rsidR="00000000" w:rsidP="00E26605">
            <w:pPr>
              <w:pStyle w:val="List"/>
              <w:rPr>
                <w:lang w:val="en-NZ"/>
              </w:rPr>
            </w:pPr>
            <w:r w:rsidRPr="00E26605">
              <w:t>2.5</w:t>
            </w:r>
            <w:r w:rsidRPr="00E26605">
              <w:tab/>
              <w:t>Ide</w:t>
            </w:r>
            <w:r w:rsidRPr="00E26605">
              <w:t>ntify and report potential or emerging changes to environmental conditions.</w:t>
            </w:r>
          </w:p>
        </w:tc>
      </w:tr>
      <w:tr w:rsidTr="00E266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605">
            <w:pPr>
              <w:pStyle w:val="List"/>
              <w:rPr>
                <w:lang w:val="en-NZ"/>
              </w:rPr>
            </w:pPr>
            <w:r w:rsidRPr="00E26605">
              <w:rPr>
                <w:rStyle w:val="SpecialBold"/>
              </w:rPr>
              <w:t>3.</w:t>
            </w:r>
            <w:r w:rsidRPr="00E26605">
              <w:rPr>
                <w:rStyle w:val="SpecialBold"/>
              </w:rPr>
              <w:tab/>
              <w:t>Eradicate noxious weeds and feral pests</w:t>
            </w:r>
          </w:p>
        </w:tc>
        <w:tc>
          <w:tcPr>
            <w:tcW w:w="6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605" w:rsidP="00E26605">
            <w:pPr>
              <w:pStyle w:val="List"/>
            </w:pPr>
            <w:r w:rsidRPr="00E26605">
              <w:t>3.1</w:t>
            </w:r>
            <w:r w:rsidRPr="00E26605">
              <w:tab/>
              <w:t>Identify noxious weeds and feral pests that are contributing to degradation of catchment and surrounding areas.</w:t>
            </w:r>
          </w:p>
          <w:p w:rsidR="00000000" w:rsidRPr="00E26605" w:rsidP="00E26605">
            <w:pPr>
              <w:pStyle w:val="List"/>
            </w:pPr>
            <w:r w:rsidRPr="00E26605">
              <w:t>3.2</w:t>
            </w:r>
            <w:r w:rsidRPr="00E26605">
              <w:tab/>
              <w:t>Remove noxious w</w:t>
            </w:r>
            <w:r w:rsidRPr="00E26605">
              <w:t>eeds and feral pests.</w:t>
            </w:r>
          </w:p>
          <w:p w:rsidR="00000000" w:rsidP="00E26605">
            <w:pPr>
              <w:pStyle w:val="List"/>
              <w:rPr>
                <w:lang w:val="en-NZ"/>
              </w:rPr>
            </w:pPr>
            <w:r w:rsidRPr="00E26605">
              <w:t>3.3</w:t>
            </w:r>
            <w:r w:rsidRPr="00E26605">
              <w:tab/>
              <w:t>Compile reports on eradication process.</w:t>
            </w:r>
          </w:p>
        </w:tc>
      </w:tr>
      <w:tr w:rsidTr="00E266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605">
            <w:pPr>
              <w:pStyle w:val="List"/>
              <w:rPr>
                <w:lang w:val="en-NZ"/>
              </w:rPr>
            </w:pPr>
            <w:r w:rsidRPr="00E26605">
              <w:rPr>
                <w:rStyle w:val="SpecialBold"/>
              </w:rPr>
              <w:t>4.</w:t>
            </w:r>
            <w:r w:rsidRPr="00E26605">
              <w:rPr>
                <w:rStyle w:val="SpecialBold"/>
              </w:rPr>
              <w:tab/>
              <w:t>Perform minor maintenance</w:t>
            </w:r>
          </w:p>
        </w:tc>
        <w:tc>
          <w:tcPr>
            <w:tcW w:w="6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605" w:rsidP="00E26605">
            <w:pPr>
              <w:pStyle w:val="List"/>
            </w:pPr>
            <w:r w:rsidRPr="00E26605">
              <w:t>4.1</w:t>
            </w:r>
            <w:r w:rsidRPr="00E26605">
              <w:tab/>
              <w:t>Identify infrastructure requiring minor maintenance.</w:t>
            </w:r>
          </w:p>
          <w:p w:rsidR="00000000" w:rsidRPr="00E26605" w:rsidP="00E26605">
            <w:pPr>
              <w:pStyle w:val="List"/>
            </w:pPr>
            <w:r w:rsidRPr="00E26605">
              <w:t>4.2</w:t>
            </w:r>
            <w:r w:rsidRPr="00E26605">
              <w:tab/>
              <w:t>Apply erosion control measures for waterways and surrounding areas.</w:t>
            </w:r>
          </w:p>
          <w:p w:rsidR="00000000" w:rsidRPr="00E26605" w:rsidP="00E26605">
            <w:pPr>
              <w:pStyle w:val="List"/>
            </w:pPr>
            <w:r w:rsidRPr="00E26605">
              <w:t>4.3</w:t>
            </w:r>
            <w:r w:rsidRPr="00E26605">
              <w:tab/>
              <w:t>Make repairs using appropri</w:t>
            </w:r>
            <w:r w:rsidRPr="00E26605">
              <w:t>ate equipment and resources to a standard that meets organisational requirements.</w:t>
            </w:r>
          </w:p>
          <w:p w:rsidR="00000000" w:rsidRPr="00E26605" w:rsidP="00E26605">
            <w:pPr>
              <w:pStyle w:val="List"/>
            </w:pPr>
            <w:r w:rsidRPr="00E26605">
              <w:t>4.4</w:t>
            </w:r>
            <w:r w:rsidRPr="00E26605">
              <w:tab/>
              <w:t xml:space="preserve">Record and report maintenance performed. </w:t>
            </w:r>
          </w:p>
        </w:tc>
      </w:tr>
    </w:tbl>
    <w:p w:rsidR="00000000" w:rsidRPr="00E26605" w:rsidP="00E26605">
      <w:pPr>
        <w:pStyle w:val="BodyText"/>
      </w:pPr>
    </w:p>
    <w:p w:rsidR="00000000" w:rsidRPr="00E26605" w:rsidP="00E26605">
      <w:pPr>
        <w:pStyle w:val="AllowPageBreak"/>
      </w:pPr>
    </w:p>
    <w:p w:rsidR="00000000" w:rsidRPr="00E26605" w:rsidP="00E26605">
      <w:pPr>
        <w:pStyle w:val="Heading1"/>
      </w:pPr>
      <w:bookmarkStart w:id="5" w:name="O_746070"/>
      <w:bookmarkEnd w:id="5"/>
      <w:r w:rsidRPr="00E26605">
        <w:t>Foundation Skills</w:t>
      </w:r>
    </w:p>
    <w:p w:rsidR="00D94BB7" w:rsidP="00D94BB7">
      <w:pPr>
        <w:pStyle w:val="BodyText"/>
      </w:pPr>
      <w:r w:rsidRPr="00E26605">
        <w:t>The foundation skills demands of this unit have been mapped for alignment with the Australi</w:t>
      </w:r>
      <w:r w:rsidRPr="00E26605">
        <w:t>an Core Skills Framework (ACSF). The following tables outline the performance levels indicated for successful attainment of the unit.</w:t>
      </w:r>
    </w:p>
    <w:p w:rsidR="00D94BB7" w:rsidP="00E26605">
      <w:pPr>
        <w:pStyle w:val="BodyText"/>
      </w:pPr>
    </w:p>
    <w:p w:rsidR="00D94BB7" w:rsidP="00E26605">
      <w:pPr>
        <w:pStyle w:val="BodyText"/>
      </w:pPr>
      <w:bookmarkStart w:id="6" w:name="O_746367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height:151.5pt;width:472.5pt">
            <v:imagedata r:id="rId10" o:title=""/>
          </v:shape>
        </w:pict>
      </w:r>
      <w:bookmarkEnd w:id="6"/>
    </w:p>
    <w:p w:rsidR="00D94BB7" w:rsidP="00E26605">
      <w:pPr>
        <w:pStyle w:val="BodyText"/>
      </w:pPr>
    </w:p>
    <w:p w:rsidR="00000000" w:rsidRPr="00E26605" w:rsidP="00D94BB7">
      <w:pPr>
        <w:pStyle w:val="BodyText"/>
      </w:pPr>
      <w:r w:rsidRPr="00E26605">
        <w:t>Further information on ACSF and the foundation skills underpinning this unit can be found in the Foundation Skills Guide on the GSA website.</w:t>
      </w:r>
    </w:p>
    <w:p w:rsidR="00000000" w:rsidRPr="00E26605" w:rsidP="00E26605">
      <w:pPr>
        <w:pStyle w:val="Heading1"/>
      </w:pPr>
      <w:bookmarkStart w:id="7" w:name="O_746072"/>
      <w:bookmarkEnd w:id="7"/>
      <w:r w:rsidRPr="00E26605">
        <w:t>Unit Mapping Inform</w:t>
      </w:r>
      <w:r w:rsidRPr="00E26605">
        <w:t>ation</w:t>
      </w:r>
    </w:p>
    <w:p w:rsidR="00000000" w:rsidRPr="00E26605" w:rsidP="00D94BB7">
      <w:pPr>
        <w:pStyle w:val="BodyText"/>
      </w:pPr>
      <w:r w:rsidRPr="00E26605">
        <w:t>This unit supersedes and is equivalent to NWP247A Maintain catchment and surrounding areas.</w:t>
      </w:r>
    </w:p>
    <w:p w:rsidR="00000000" w:rsidRPr="00E26605" w:rsidP="00E26605">
      <w:pPr>
        <w:pStyle w:val="Heading1"/>
      </w:pPr>
      <w:bookmarkStart w:id="8" w:name="O_746079"/>
      <w:bookmarkEnd w:id="8"/>
      <w:r w:rsidRPr="00E26605">
        <w:t>Links</w:t>
      </w:r>
    </w:p>
    <w:p w:rsidR="00000000" w:rsidRPr="00E26605" w:rsidP="00D94BB7">
      <w:pPr>
        <w:pStyle w:val="BodyText"/>
      </w:pPr>
      <w:r w:rsidRPr="00E2660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67054B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E26605" w:rsidP="00D94BB7">
      <w:pPr>
        <w:pStyle w:val="BodyText"/>
      </w:pPr>
      <w:r w:rsidRPr="00E2660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67054B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E26605" w:rsidP="00D94BB7">
      <w:pPr>
        <w:pStyle w:val="BodyText"/>
      </w:pPr>
      <w:r w:rsidRPr="00E2660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67054B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E26605" w:rsidP="00D94BB7">
      <w:pPr>
        <w:pStyle w:val="BodyText"/>
      </w:pPr>
      <w:r w:rsidRPr="00E2660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67054B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E26605" w:rsidP="00E26605"/>
    <w:sectPr w:rsidSect="00E26605">
      <w:headerReference w:type="default" r:id="rId11"/>
      <w:footerReference w:type="default" r:id="rId12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6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605" w:rsidRPr="00D94BB7" w:rsidP="00D94B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6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4BB7" w:rsidP="00E266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94BB7" w:rsidP="00E266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94BB7" w:rsidP="00E266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6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4BB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6605" w:rsidRPr="00D94BB7" w:rsidP="00D94BB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6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4BB7" w:rsidRPr="002D2AF8" w:rsidP="00E266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NWPSOU011 Maintain catchment and surrounding areas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April 2021</w:t>
    </w:r>
    <w:r>
      <w:fldChar w:fldCharType="end"/>
    </w:r>
  </w:p>
  <w:p w:rsidR="00D94BB7" w:rsidP="00E266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CF43F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73E8DF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66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66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66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66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66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66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66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66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66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66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66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6605"/>
  </w:style>
  <w:style w:type="character" w:customStyle="1" w:styleId="Heading1Char">
    <w:name w:val="Heading 1 Char"/>
    <w:basedOn w:val="DefaultParagraphFont"/>
    <w:link w:val="Heading1"/>
    <w:rsid w:val="00E266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66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660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2660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2660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26605"/>
    <w:rPr>
      <w:b/>
      <w:spacing w:val="0"/>
    </w:rPr>
  </w:style>
  <w:style w:type="paragraph" w:customStyle="1" w:styleId="SuperHeading">
    <w:name w:val="SuperHeading"/>
    <w:basedOn w:val="Normal"/>
    <w:rsid w:val="00E266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2660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266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266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66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66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66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66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66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66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66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66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66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66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66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66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66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66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66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66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660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266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266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66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66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2660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266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66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66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66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66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66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66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66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660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26605"/>
    <w:rPr>
      <w:i/>
    </w:rPr>
  </w:style>
  <w:style w:type="paragraph" w:styleId="Caption">
    <w:name w:val="caption"/>
    <w:basedOn w:val="BodyText"/>
    <w:next w:val="Normal"/>
    <w:qFormat/>
    <w:rsid w:val="00E266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66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66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6605"/>
  </w:style>
  <w:style w:type="paragraph" w:styleId="TableofFigures">
    <w:name w:val="table of figures"/>
    <w:basedOn w:val="Normal"/>
    <w:next w:val="Normal"/>
    <w:semiHidden/>
    <w:rsid w:val="00E266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660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26605"/>
    <w:rPr>
      <w:rFonts w:ascii="Wingdings" w:hAnsi="Wingdings"/>
    </w:rPr>
  </w:style>
  <w:style w:type="character" w:customStyle="1" w:styleId="HotSpot">
    <w:name w:val="HotSpot"/>
    <w:rsid w:val="00E26605"/>
    <w:rPr>
      <w:color w:val="0033CC"/>
      <w:u w:val="none"/>
    </w:rPr>
  </w:style>
  <w:style w:type="paragraph" w:customStyle="1" w:styleId="BodyTextRight">
    <w:name w:val="Body Text Right"/>
    <w:basedOn w:val="BodyText"/>
    <w:rsid w:val="00E266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66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660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66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66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66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6605"/>
    <w:rPr>
      <w:sz w:val="32"/>
    </w:rPr>
  </w:style>
  <w:style w:type="paragraph" w:customStyle="1" w:styleId="HeadingProcedure">
    <w:name w:val="Heading Procedure"/>
    <w:basedOn w:val="HeadingBase"/>
    <w:next w:val="Normal"/>
    <w:rsid w:val="00E266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6605"/>
    <w:pPr>
      <w:spacing w:before="60" w:after="60"/>
    </w:pPr>
  </w:style>
  <w:style w:type="paragraph" w:styleId="ListContinue">
    <w:name w:val="List Continue"/>
    <w:basedOn w:val="List"/>
    <w:rsid w:val="00E26605"/>
    <w:pPr>
      <w:ind w:firstLine="0"/>
    </w:pPr>
  </w:style>
  <w:style w:type="paragraph" w:customStyle="1" w:styleId="ListNote">
    <w:name w:val="List Note"/>
    <w:basedOn w:val="List"/>
    <w:rsid w:val="00E266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66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66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6605"/>
    <w:rPr>
      <w:rFonts w:ascii="Courier New" w:hAnsi="Courier New"/>
    </w:rPr>
  </w:style>
  <w:style w:type="paragraph" w:customStyle="1" w:styleId="NoteBullet">
    <w:name w:val="Note Bullet"/>
    <w:basedOn w:val="Note"/>
    <w:rsid w:val="00E266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66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66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66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660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266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66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6605"/>
    <w:rPr>
      <w:b/>
      <w:smallCaps/>
    </w:rPr>
  </w:style>
  <w:style w:type="paragraph" w:customStyle="1" w:styleId="TableListNumber">
    <w:name w:val="Table List Number"/>
    <w:basedOn w:val="ListNumber"/>
    <w:rsid w:val="00E266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66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6605"/>
    <w:pPr>
      <w:numPr>
        <w:numId w:val="8"/>
      </w:numPr>
    </w:pPr>
  </w:style>
  <w:style w:type="paragraph" w:customStyle="1" w:styleId="ListAlpha2">
    <w:name w:val="List Alpha 2"/>
    <w:basedOn w:val="List2"/>
    <w:rsid w:val="00E26605"/>
    <w:pPr>
      <w:numPr>
        <w:numId w:val="7"/>
      </w:numPr>
    </w:pPr>
  </w:style>
  <w:style w:type="paragraph" w:styleId="List2">
    <w:name w:val="List 2"/>
    <w:basedOn w:val="BodyText"/>
    <w:rsid w:val="00E266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66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66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66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660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660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26605"/>
    <w:pPr>
      <w:numPr>
        <w:numId w:val="3"/>
      </w:numPr>
    </w:pPr>
  </w:style>
  <w:style w:type="paragraph" w:styleId="ListContinue2">
    <w:name w:val="List Continue 2"/>
    <w:basedOn w:val="List2"/>
    <w:rsid w:val="00E26605"/>
    <w:pPr>
      <w:ind w:firstLine="0"/>
    </w:pPr>
  </w:style>
  <w:style w:type="paragraph" w:styleId="ListContinue3">
    <w:name w:val="List Continue 3"/>
    <w:basedOn w:val="List3"/>
    <w:rsid w:val="00E26605"/>
    <w:pPr>
      <w:ind w:left="1021" w:firstLine="0"/>
    </w:pPr>
  </w:style>
  <w:style w:type="paragraph" w:styleId="ListContinue4">
    <w:name w:val="List Continue 4"/>
    <w:basedOn w:val="List4"/>
    <w:rsid w:val="00E26605"/>
    <w:pPr>
      <w:ind w:firstLine="0"/>
    </w:pPr>
  </w:style>
  <w:style w:type="paragraph" w:styleId="ListContinue5">
    <w:name w:val="List Continue 5"/>
    <w:basedOn w:val="List5"/>
    <w:rsid w:val="00E26605"/>
    <w:pPr>
      <w:ind w:firstLine="0"/>
    </w:pPr>
  </w:style>
  <w:style w:type="paragraph" w:styleId="ListNumber3">
    <w:name w:val="List Number 3"/>
    <w:basedOn w:val="List3"/>
    <w:rsid w:val="00E26605"/>
    <w:pPr>
      <w:numPr>
        <w:numId w:val="4"/>
      </w:numPr>
    </w:pPr>
  </w:style>
  <w:style w:type="paragraph" w:styleId="ListNumber4">
    <w:name w:val="List Number 4"/>
    <w:basedOn w:val="List4"/>
    <w:rsid w:val="00E26605"/>
    <w:pPr>
      <w:numPr>
        <w:numId w:val="5"/>
      </w:numPr>
    </w:pPr>
  </w:style>
  <w:style w:type="paragraph" w:styleId="ListNumber5">
    <w:name w:val="List Number 5"/>
    <w:basedOn w:val="List5"/>
    <w:rsid w:val="00E26605"/>
    <w:pPr>
      <w:numPr>
        <w:numId w:val="6"/>
      </w:numPr>
    </w:pPr>
  </w:style>
  <w:style w:type="paragraph" w:styleId="BlockText">
    <w:name w:val="Block Text"/>
    <w:basedOn w:val="Normal"/>
    <w:rsid w:val="00E266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66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6605"/>
    <w:rPr>
      <w:sz w:val="16"/>
      <w:vertAlign w:val="superscript"/>
    </w:rPr>
  </w:style>
  <w:style w:type="character" w:customStyle="1" w:styleId="Symbols">
    <w:name w:val="Symbols"/>
    <w:basedOn w:val="DefaultParagraphFont"/>
    <w:rsid w:val="00E26605"/>
    <w:rPr>
      <w:rFonts w:ascii="Symbol" w:hAnsi="Symbol"/>
    </w:rPr>
  </w:style>
  <w:style w:type="character" w:customStyle="1" w:styleId="MenuOptions">
    <w:name w:val="Menu Options"/>
    <w:basedOn w:val="DefaultParagraphFont"/>
    <w:rsid w:val="00E266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6605"/>
    <w:rPr>
      <w:b/>
    </w:rPr>
  </w:style>
  <w:style w:type="character" w:customStyle="1" w:styleId="Underlined">
    <w:name w:val="Underlined"/>
    <w:basedOn w:val="DefaultParagraphFont"/>
    <w:rsid w:val="00E26605"/>
    <w:rPr>
      <w:u w:val="single"/>
    </w:rPr>
  </w:style>
  <w:style w:type="paragraph" w:customStyle="1" w:styleId="TableBodyTextRight">
    <w:name w:val="Table Body Text Right"/>
    <w:basedOn w:val="TableBodyText"/>
    <w:rsid w:val="00E266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6605"/>
    <w:rPr>
      <w:sz w:val="18"/>
    </w:rPr>
  </w:style>
  <w:style w:type="paragraph" w:customStyle="1" w:styleId="BodySmallRight">
    <w:name w:val="Body Small Right"/>
    <w:basedOn w:val="BodyTextRight"/>
    <w:rsid w:val="00E26605"/>
    <w:rPr>
      <w:sz w:val="18"/>
      <w:szCs w:val="18"/>
    </w:rPr>
  </w:style>
  <w:style w:type="paragraph" w:customStyle="1" w:styleId="MarginEdition">
    <w:name w:val="Margin Edition"/>
    <w:basedOn w:val="MarginNote"/>
    <w:rsid w:val="00E266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6605"/>
    <w:rPr>
      <w:sz w:val="2"/>
      <w:szCs w:val="2"/>
    </w:rPr>
  </w:style>
  <w:style w:type="character" w:customStyle="1" w:styleId="Small">
    <w:name w:val="Small"/>
    <w:basedOn w:val="DefaultParagraphFont"/>
    <w:rsid w:val="00E26605"/>
    <w:rPr>
      <w:sz w:val="16"/>
    </w:rPr>
  </w:style>
  <w:style w:type="paragraph" w:customStyle="1" w:styleId="WideTable">
    <w:name w:val="Wide Table"/>
    <w:basedOn w:val="Normal"/>
    <w:rsid w:val="00E266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6605"/>
  </w:style>
  <w:style w:type="paragraph" w:styleId="Quote">
    <w:name w:val="Quote"/>
    <w:basedOn w:val="Heading1"/>
    <w:link w:val="QuoteChar"/>
    <w:qFormat/>
    <w:rsid w:val="00E266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66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6605"/>
    <w:pPr>
      <w:pageBreakBefore/>
    </w:pPr>
  </w:style>
  <w:style w:type="paragraph" w:customStyle="1" w:styleId="Border">
    <w:name w:val="Border"/>
    <w:basedOn w:val="Normal"/>
    <w:qFormat/>
    <w:rsid w:val="00E266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66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66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66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66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66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66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66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66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6605"/>
    <w:rPr>
      <w:u w:val="single"/>
    </w:rPr>
  </w:style>
  <w:style w:type="character" w:customStyle="1" w:styleId="BoldandItalics">
    <w:name w:val="Bold and Italics"/>
    <w:qFormat/>
    <w:rsid w:val="00E26605"/>
    <w:rPr>
      <w:b/>
      <w:i/>
      <w:u w:val="none"/>
    </w:rPr>
  </w:style>
  <w:style w:type="paragraph" w:styleId="BalloonText">
    <w:name w:val="Balloon Text"/>
    <w:basedOn w:val="Normal"/>
    <w:link w:val="BalloonTextChar"/>
    <w:rsid w:val="00E266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66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66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66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66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66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6605"/>
    <w:pPr>
      <w:spacing w:before="0" w:after="0"/>
    </w:pPr>
  </w:style>
  <w:style w:type="paragraph" w:customStyle="1" w:styleId="BodyTextBold">
    <w:name w:val="Body Text Bold"/>
    <w:basedOn w:val="BodyText"/>
    <w:qFormat/>
    <w:rsid w:val="00E26605"/>
    <w:rPr>
      <w:b/>
    </w:rPr>
  </w:style>
  <w:style w:type="character" w:styleId="Hyperlink">
    <w:name w:val="Hyperlink"/>
    <w:basedOn w:val="DefaultParagraphFont"/>
    <w:uiPriority w:val="99"/>
    <w:unhideWhenUsed/>
    <w:rsid w:val="00D94BB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png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671</Words>
  <Characters>4392</Characters>
  <Application>Microsoft Office Word</Application>
  <DocSecurity>0</DocSecurity>
  <Lines>133</Lines>
  <Paragraphs>71</Paragraphs>
  <ScaleCrop>false</ScaleCrop>
  <Company>Author-it Software Corporation Ltd.</Company>
  <LinksUpToDate>false</LinksUpToDate>
  <CharactersWithSpaces>4992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NWPSOU011 Maintain catchment and surrounding areas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2021-04-21T07:33:00Z</dcterms:created>
  <dcterms:modified xsi:type="dcterms:W3CDTF">2021-04-21T07:33:00Z</dcterms:modified>
</cp:coreProperties>
</file>