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FF8" w:rsidP="00F22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NWPSOU001 Respond to blue-green algae outbreaks</w:t>
      </w:r>
      <w:r>
        <w:fldChar w:fldCharType="end"/>
      </w:r>
    </w:p>
    <w:p w:rsidR="00F22FF8" w:rsidP="00F22FF8">
      <w:pPr>
        <w:pStyle w:val="Version"/>
        <w:sectPr w:rsidSect="004A3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B0B" w:rsidP="004A3B0B">
      <w:pPr>
        <w:pStyle w:val="SuperHeading"/>
      </w:pPr>
      <w:r w:rsidRPr="004A3B0B">
        <w:t>NWPSOU001 Respond to blue-green algae outbreaks</w:t>
      </w:r>
    </w:p>
    <w:p w:rsidR="00000000" w:rsidRPr="004A3B0B" w:rsidP="004A3B0B">
      <w:pPr>
        <w:pStyle w:val="Heading1"/>
      </w:pPr>
      <w:bookmarkStart w:id="1" w:name="O_746018"/>
      <w:bookmarkEnd w:id="1"/>
      <w:r w:rsidRPr="004A3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22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TableHeading"/>
              <w:rPr>
                <w:lang w:val="en-NZ"/>
              </w:rPr>
            </w:pPr>
            <w:r w:rsidRPr="004A3B0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TableHeading"/>
              <w:rPr>
                <w:lang w:val="en-NZ"/>
              </w:rPr>
            </w:pPr>
            <w:r w:rsidRPr="004A3B0B">
              <w:t>Comments</w:t>
            </w:r>
          </w:p>
        </w:tc>
      </w:tr>
      <w:tr w:rsidTr="00F22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BodyText"/>
              <w:rPr>
                <w:lang w:val="en-NZ"/>
              </w:rPr>
            </w:pPr>
            <w:r w:rsidRPr="004A3B0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0B" w:rsidP="004A3B0B">
            <w:pPr>
              <w:pStyle w:val="BodyText"/>
            </w:pPr>
            <w:r w:rsidRPr="004A3B0B">
              <w:t xml:space="preserve">This unit was released in NWP Water Training Package release 1.0 and meets the Standards for Training Packages. </w:t>
            </w:r>
          </w:p>
          <w:p w:rsidR="00000000" w:rsidRPr="004A3B0B" w:rsidP="004A3B0B">
            <w:pPr>
              <w:pStyle w:val="BodyText"/>
            </w:pPr>
          </w:p>
          <w:p w:rsidR="00000000" w:rsidRPr="004A3B0B" w:rsidP="004A3B0B">
            <w:pPr>
              <w:pStyle w:val="ListBullet"/>
            </w:pPr>
            <w:r w:rsidRPr="004A3B0B">
              <w:t>New unit, created drawing upon information from deleted units NWP368A and NWP278A</w:t>
            </w:r>
          </w:p>
        </w:tc>
      </w:tr>
    </w:tbl>
    <w:p w:rsidR="00000000" w:rsidRPr="004A3B0B" w:rsidP="004A3B0B">
      <w:pPr>
        <w:pStyle w:val="BodyText"/>
      </w:pPr>
    </w:p>
    <w:p w:rsidR="00000000" w:rsidRPr="004A3B0B" w:rsidP="004A3B0B">
      <w:pPr>
        <w:pStyle w:val="AllowPageBreak"/>
      </w:pPr>
    </w:p>
    <w:p w:rsidR="00000000" w:rsidRPr="004A3B0B" w:rsidP="004A3B0B">
      <w:pPr>
        <w:pStyle w:val="Heading1"/>
      </w:pPr>
      <w:bookmarkStart w:id="2" w:name="O_746019"/>
      <w:bookmarkEnd w:id="2"/>
      <w:r w:rsidRPr="004A3B0B">
        <w:t>Application</w:t>
      </w:r>
    </w:p>
    <w:p w:rsidR="00000000" w:rsidRPr="004A3B0B" w:rsidP="00F22FF8">
      <w:pPr>
        <w:pStyle w:val="BodyText"/>
      </w:pPr>
      <w:r w:rsidRPr="004A3B0B">
        <w:t>This unit describes the skills required to respond to blue-green algae outbreaks. The ability to identify problems, conduct sampling, determine and apply technical adjustments and produce technical reports is essential to performance.</w:t>
      </w:r>
    </w:p>
    <w:p w:rsidR="00000000" w:rsidRPr="004A3B0B" w:rsidP="00F22FF8">
      <w:pPr>
        <w:pStyle w:val="BodyText"/>
      </w:pPr>
      <w:r w:rsidRPr="004A3B0B">
        <w:t xml:space="preserve">This unit applies to those working as field staff members with specific responsibilities for responding to blue-green algae outbreaks. </w:t>
      </w:r>
    </w:p>
    <w:p w:rsidR="00000000" w:rsidRPr="004A3B0B" w:rsidP="00F22FF8">
      <w:pPr>
        <w:pStyle w:val="BodyText"/>
      </w:pPr>
      <w:r w:rsidRPr="004A3B0B">
        <w:t>The skills and knowledge described in this unit must be applied within the legislative, regulatory and policy environm</w:t>
      </w:r>
      <w:r w:rsidRPr="004A3B0B">
        <w:t>ent in which they are carried out. Organisational policies and procedures must be consulted and adhered to.</w:t>
      </w:r>
    </w:p>
    <w:p w:rsidR="00000000" w:rsidRPr="004A3B0B" w:rsidP="00F22FF8">
      <w:pPr>
        <w:pStyle w:val="BodyText"/>
      </w:pPr>
      <w:r w:rsidRPr="004A3B0B">
        <w:t>Those undertaking this unit would work under supervision, while performing complex tasks, within a familiar context.</w:t>
      </w:r>
    </w:p>
    <w:p w:rsidR="00000000" w:rsidRPr="004A3B0B" w:rsidP="00F22FF8">
      <w:pPr>
        <w:pStyle w:val="BodyText"/>
      </w:pPr>
      <w:r w:rsidRPr="004A3B0B">
        <w:t xml:space="preserve">No licensing, legislative or </w:t>
      </w:r>
      <w:r w:rsidRPr="004A3B0B">
        <w:t>certification requirements apply to unit at the time of publication.</w:t>
      </w:r>
    </w:p>
    <w:p w:rsidR="00000000" w:rsidRPr="004A3B0B" w:rsidP="004A3B0B">
      <w:pPr>
        <w:pStyle w:val="Heading1"/>
      </w:pPr>
      <w:bookmarkStart w:id="3" w:name="O_746021"/>
      <w:bookmarkEnd w:id="3"/>
      <w:r w:rsidRPr="004A3B0B">
        <w:t>Competency Field</w:t>
      </w:r>
    </w:p>
    <w:p w:rsidR="00000000" w:rsidRPr="004A3B0B" w:rsidP="00F22FF8">
      <w:pPr>
        <w:pStyle w:val="BodyText"/>
      </w:pPr>
      <w:r w:rsidRPr="004A3B0B">
        <w:t>Source</w:t>
      </w:r>
    </w:p>
    <w:p w:rsidR="00000000" w:rsidRPr="004A3B0B" w:rsidP="004A3B0B">
      <w:pPr>
        <w:pStyle w:val="Heading1"/>
      </w:pPr>
      <w:bookmarkStart w:id="4" w:name="O_746025"/>
      <w:bookmarkEnd w:id="4"/>
      <w:r w:rsidRPr="004A3B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804"/>
      </w:tblGrid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TableHeading"/>
              <w:rPr>
                <w:lang w:val="en-NZ"/>
              </w:rPr>
            </w:pPr>
            <w:r w:rsidRPr="004A3B0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TableHeading"/>
              <w:rPr>
                <w:lang w:val="en-NZ"/>
              </w:rPr>
            </w:pPr>
            <w:r w:rsidRPr="004A3B0B">
              <w:t>PERFORMANCE CRITERIA</w:t>
            </w:r>
          </w:p>
        </w:tc>
      </w:tr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BodyText"/>
              <w:rPr>
                <w:lang w:val="en-NZ"/>
              </w:rPr>
            </w:pPr>
            <w:r w:rsidRPr="004A3B0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BodyText"/>
              <w:rPr>
                <w:lang w:val="en-NZ"/>
              </w:rPr>
            </w:pPr>
            <w:r w:rsidRPr="004A3B0B">
              <w:t>Performance criteria de</w:t>
            </w:r>
            <w:r w:rsidRPr="004A3B0B">
              <w:t>scribe the performance needed to demonstrate achievement of the element. Where bold italicised text is used, further information is detailed in the range of conditions section.</w:t>
            </w:r>
          </w:p>
        </w:tc>
      </w:tr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List"/>
              <w:rPr>
                <w:lang w:val="en-NZ"/>
              </w:rPr>
            </w:pPr>
            <w:r w:rsidRPr="004A3B0B">
              <w:rPr>
                <w:rStyle w:val="SpecialBold"/>
              </w:rPr>
              <w:t>1.</w:t>
            </w:r>
            <w:r w:rsidRPr="004A3B0B">
              <w:rPr>
                <w:rStyle w:val="SpecialBold"/>
              </w:rPr>
              <w:tab/>
              <w:t>Confirm blue-green algae outbreak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0B" w:rsidP="004A3B0B">
            <w:pPr>
              <w:pStyle w:val="List"/>
            </w:pPr>
            <w:r w:rsidRPr="004A3B0B">
              <w:t>1.1</w:t>
            </w:r>
            <w:r w:rsidRPr="004A3B0B">
              <w:tab/>
              <w:t xml:space="preserve">Receive reports of </w:t>
            </w:r>
            <w:r w:rsidRPr="004A3B0B">
              <w:rPr>
                <w:rStyle w:val="BoldandItalics"/>
              </w:rPr>
              <w:t>blue-green algae outbreak.</w:t>
            </w:r>
          </w:p>
          <w:p w:rsidR="00000000" w:rsidP="004A3B0B">
            <w:pPr>
              <w:pStyle w:val="List"/>
              <w:rPr>
                <w:lang w:val="en-NZ"/>
              </w:rPr>
            </w:pPr>
            <w:r w:rsidRPr="004A3B0B">
              <w:t>1.2</w:t>
            </w:r>
            <w:r w:rsidRPr="004A3B0B">
              <w:tab/>
              <w:t>Verify the extent and locations of blue-green algae outbreak.</w:t>
            </w:r>
          </w:p>
        </w:tc>
      </w:tr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List"/>
              <w:rPr>
                <w:lang w:val="en-NZ"/>
              </w:rPr>
            </w:pPr>
            <w:r w:rsidRPr="004A3B0B">
              <w:rPr>
                <w:rStyle w:val="SpecialBold"/>
              </w:rPr>
              <w:t>2.</w:t>
            </w:r>
            <w:r w:rsidRPr="004A3B0B">
              <w:rPr>
                <w:rStyle w:val="SpecialBold"/>
              </w:rPr>
              <w:tab/>
              <w:t>Prepare samples for testing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0B" w:rsidP="004A3B0B">
            <w:pPr>
              <w:pStyle w:val="List"/>
            </w:pPr>
            <w:r w:rsidRPr="004A3B0B">
              <w:t>2.1</w:t>
            </w:r>
            <w:r w:rsidRPr="004A3B0B">
              <w:tab/>
              <w:t>Confirm procedures for sampling and sampling locations.</w:t>
            </w:r>
          </w:p>
          <w:p w:rsidR="00000000" w:rsidRPr="004A3B0B" w:rsidP="004A3B0B">
            <w:pPr>
              <w:pStyle w:val="List"/>
            </w:pPr>
            <w:r w:rsidRPr="004A3B0B">
              <w:t>2.2</w:t>
            </w:r>
            <w:r w:rsidRPr="004A3B0B">
              <w:tab/>
              <w:t>Check organisational procedures.</w:t>
            </w:r>
          </w:p>
          <w:p w:rsidR="00000000" w:rsidRPr="004A3B0B" w:rsidP="004A3B0B">
            <w:pPr>
              <w:pStyle w:val="List"/>
            </w:pPr>
            <w:r w:rsidRPr="004A3B0B">
              <w:t>2.3</w:t>
            </w:r>
            <w:r w:rsidRPr="004A3B0B">
              <w:tab/>
              <w:t>Prepare sampling equipment.</w:t>
            </w:r>
          </w:p>
          <w:p w:rsidR="00000000" w:rsidRPr="004A3B0B" w:rsidP="004A3B0B">
            <w:pPr>
              <w:pStyle w:val="List"/>
            </w:pPr>
            <w:r w:rsidRPr="004A3B0B">
              <w:t>2.</w:t>
            </w:r>
            <w:r w:rsidRPr="004A3B0B">
              <w:t>4</w:t>
            </w:r>
            <w:r w:rsidRPr="004A3B0B">
              <w:tab/>
              <w:t>Identify location and extent of outbreak.</w:t>
            </w:r>
          </w:p>
          <w:p w:rsidR="00000000" w:rsidRPr="004A3B0B" w:rsidP="004A3B0B">
            <w:pPr>
              <w:pStyle w:val="List"/>
            </w:pPr>
            <w:r w:rsidRPr="004A3B0B">
              <w:t>2.5</w:t>
            </w:r>
            <w:r w:rsidRPr="004A3B0B">
              <w:tab/>
              <w:t>Select sample points.</w:t>
            </w:r>
          </w:p>
          <w:p w:rsidR="00000000" w:rsidRPr="004A3B0B" w:rsidP="004A3B0B">
            <w:pPr>
              <w:pStyle w:val="List"/>
            </w:pPr>
            <w:r w:rsidRPr="004A3B0B">
              <w:t>2.6</w:t>
            </w:r>
            <w:r w:rsidRPr="004A3B0B">
              <w:tab/>
              <w:t>Carry out sampling.</w:t>
            </w:r>
          </w:p>
          <w:p w:rsidR="00000000" w:rsidP="004A3B0B">
            <w:pPr>
              <w:pStyle w:val="List"/>
              <w:rPr>
                <w:lang w:val="en-NZ"/>
              </w:rPr>
            </w:pPr>
            <w:r w:rsidRPr="004A3B0B">
              <w:t>2.7</w:t>
            </w:r>
            <w:r w:rsidRPr="004A3B0B">
              <w:tab/>
              <w:t>Prepare and send samples for testing.</w:t>
            </w:r>
          </w:p>
        </w:tc>
      </w:tr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List"/>
              <w:rPr>
                <w:lang w:val="en-NZ"/>
              </w:rPr>
            </w:pPr>
            <w:r w:rsidRPr="004A3B0B">
              <w:rPr>
                <w:rStyle w:val="SpecialBold"/>
              </w:rPr>
              <w:t>3.</w:t>
            </w:r>
            <w:r w:rsidRPr="004A3B0B">
              <w:rPr>
                <w:rStyle w:val="SpecialBold"/>
              </w:rPr>
              <w:tab/>
              <w:t>Respond to blue-green algae outbreak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0B" w:rsidP="004A3B0B">
            <w:pPr>
              <w:pStyle w:val="List"/>
            </w:pPr>
            <w:r w:rsidRPr="004A3B0B">
              <w:t>3.1</w:t>
            </w:r>
            <w:r w:rsidRPr="004A3B0B">
              <w:tab/>
              <w:t>Evaluate potential blue-green algae control methods and select and implemen</w:t>
            </w:r>
            <w:r w:rsidRPr="004A3B0B">
              <w:t>t appropriate actions.</w:t>
            </w:r>
          </w:p>
          <w:p w:rsidR="00000000" w:rsidRPr="004A3B0B" w:rsidP="004A3B0B">
            <w:pPr>
              <w:pStyle w:val="List"/>
            </w:pPr>
            <w:r w:rsidRPr="004A3B0B">
              <w:t>3.2</w:t>
            </w:r>
            <w:r w:rsidRPr="004A3B0B">
              <w:tab/>
              <w:t>Advise affected people.</w:t>
            </w:r>
          </w:p>
          <w:p w:rsidR="00000000" w:rsidP="004A3B0B">
            <w:pPr>
              <w:pStyle w:val="List"/>
              <w:rPr>
                <w:lang w:val="en-NZ"/>
              </w:rPr>
            </w:pPr>
            <w:r w:rsidRPr="004A3B0B">
              <w:t>3.3</w:t>
            </w:r>
            <w:r w:rsidRPr="004A3B0B">
              <w:tab/>
              <w:t>Monitor and inspect area.</w:t>
            </w:r>
          </w:p>
        </w:tc>
      </w:tr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List"/>
              <w:rPr>
                <w:lang w:val="en-NZ"/>
              </w:rPr>
            </w:pPr>
            <w:r w:rsidRPr="004A3B0B">
              <w:rPr>
                <w:rStyle w:val="SpecialBold"/>
              </w:rPr>
              <w:t>4.</w:t>
            </w:r>
            <w:r w:rsidRPr="004A3B0B">
              <w:rPr>
                <w:rStyle w:val="SpecialBold"/>
              </w:rPr>
              <w:tab/>
              <w:t>Report on blue-green algae outbreak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0B" w:rsidP="004A3B0B">
            <w:pPr>
              <w:pStyle w:val="List"/>
            </w:pPr>
            <w:r w:rsidRPr="004A3B0B">
              <w:t>4.1</w:t>
            </w:r>
            <w:r w:rsidRPr="004A3B0B">
              <w:tab/>
              <w:t>Collect and interpret process data.</w:t>
            </w:r>
          </w:p>
          <w:p w:rsidR="00000000" w:rsidRPr="004A3B0B" w:rsidP="004A3B0B">
            <w:pPr>
              <w:pStyle w:val="List"/>
            </w:pPr>
            <w:r w:rsidRPr="004A3B0B">
              <w:t>4.2</w:t>
            </w:r>
            <w:r w:rsidRPr="004A3B0B">
              <w:tab/>
              <w:t>Compile data report.</w:t>
            </w:r>
          </w:p>
          <w:p w:rsidR="00000000" w:rsidRPr="004A3B0B" w:rsidP="004A3B0B">
            <w:pPr>
              <w:pStyle w:val="List"/>
            </w:pPr>
            <w:r w:rsidRPr="004A3B0B">
              <w:t>4.3</w:t>
            </w:r>
            <w:r w:rsidRPr="004A3B0B">
              <w:tab/>
              <w:t>Report observations outside defined parameters for further action.</w:t>
            </w:r>
          </w:p>
        </w:tc>
      </w:tr>
    </w:tbl>
    <w:p w:rsidR="00000000" w:rsidRPr="004A3B0B" w:rsidP="004A3B0B">
      <w:pPr>
        <w:pStyle w:val="BodyText"/>
      </w:pPr>
    </w:p>
    <w:p w:rsidR="00000000" w:rsidRPr="004A3B0B" w:rsidP="004A3B0B">
      <w:pPr>
        <w:pStyle w:val="AllowPageBreak"/>
      </w:pPr>
    </w:p>
    <w:p w:rsidR="00000000" w:rsidRPr="004A3B0B" w:rsidP="004A3B0B">
      <w:pPr>
        <w:pStyle w:val="Heading1"/>
      </w:pPr>
      <w:bookmarkStart w:id="5" w:name="O_746026"/>
      <w:bookmarkEnd w:id="5"/>
      <w:r w:rsidRPr="004A3B0B">
        <w:t>Foundation Skills</w:t>
      </w:r>
    </w:p>
    <w:p w:rsidR="00F22FF8" w:rsidP="00F22FF8">
      <w:pPr>
        <w:pStyle w:val="BodyText"/>
      </w:pPr>
      <w:r w:rsidRPr="004A3B0B">
        <w:t xml:space="preserve">The foundation skills demands of this unit have been mapped for alignment with the Australian Core Skills Framework (ACSF). The following tables </w:t>
      </w:r>
      <w:r w:rsidRPr="004A3B0B">
        <w:t>outline the performance levels indicated for successful attainment of the unit.</w:t>
      </w:r>
    </w:p>
    <w:p w:rsidR="00F22FF8" w:rsidP="004A3B0B">
      <w:pPr>
        <w:pStyle w:val="BodyText"/>
      </w:pPr>
    </w:p>
    <w:p w:rsidR="00000000" w:rsidRPr="004A3B0B" w:rsidP="004A3B0B">
      <w:pPr>
        <w:pStyle w:val="BodyText"/>
      </w:pPr>
      <w:bookmarkStart w:id="6" w:name="O_76911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7.5pt;width:472.5pt">
            <v:imagedata r:id="rId10" o:title=""/>
          </v:shape>
        </w:pict>
      </w:r>
      <w:bookmarkEnd w:id="6"/>
    </w:p>
    <w:p w:rsidR="00000000" w:rsidRPr="004A3B0B" w:rsidP="004A3B0B">
      <w:pPr>
        <w:pStyle w:val="BodyText"/>
      </w:pPr>
    </w:p>
    <w:p w:rsidR="00000000" w:rsidRPr="004A3B0B" w:rsidP="00F22FF8">
      <w:pPr>
        <w:pStyle w:val="BodyText"/>
      </w:pPr>
      <w:r w:rsidRPr="004A3B0B">
        <w:t>Further information on ACSF and the foundation skills underpinning this unit can be found in the Foundation Skills Guide on the GSA website.</w:t>
      </w:r>
    </w:p>
    <w:p w:rsidR="00000000" w:rsidRPr="004A3B0B" w:rsidP="004A3B0B">
      <w:pPr>
        <w:pStyle w:val="Heading1"/>
      </w:pPr>
      <w:bookmarkStart w:id="7" w:name="O_746028"/>
      <w:bookmarkEnd w:id="7"/>
      <w:r w:rsidRPr="004A3B0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4A3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0B">
            <w:pPr>
              <w:pStyle w:val="BodyText"/>
              <w:rPr>
                <w:lang w:val="en-NZ"/>
              </w:rPr>
            </w:pPr>
            <w:r w:rsidRPr="004A3B0B">
              <w:t>Blue-green algae outbreak areas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0B" w:rsidP="004A3B0B">
            <w:pPr>
              <w:pStyle w:val="ListBullet"/>
            </w:pPr>
            <w:r w:rsidRPr="004A3B0B">
              <w:t>rivers, streams, creeks</w:t>
            </w:r>
          </w:p>
          <w:p w:rsidR="00000000" w:rsidRPr="004A3B0B" w:rsidP="004A3B0B">
            <w:pPr>
              <w:pStyle w:val="ListBullet"/>
            </w:pPr>
            <w:r w:rsidRPr="004A3B0B">
              <w:t>dams</w:t>
            </w:r>
          </w:p>
          <w:p w:rsidR="00000000" w:rsidRPr="004A3B0B" w:rsidP="004A3B0B">
            <w:pPr>
              <w:pStyle w:val="ListBullet"/>
            </w:pPr>
            <w:r w:rsidRPr="004A3B0B">
              <w:t>lagoons</w:t>
            </w:r>
          </w:p>
          <w:p w:rsidR="00000000" w:rsidRPr="004A3B0B" w:rsidP="004A3B0B">
            <w:pPr>
              <w:pStyle w:val="ListBullet"/>
            </w:pPr>
            <w:r w:rsidRPr="004A3B0B">
              <w:t>billabongs</w:t>
            </w:r>
          </w:p>
        </w:tc>
      </w:tr>
    </w:tbl>
    <w:p w:rsidR="00000000" w:rsidRPr="004A3B0B" w:rsidP="004A3B0B">
      <w:pPr>
        <w:pStyle w:val="BodyText"/>
      </w:pPr>
    </w:p>
    <w:p w:rsidR="00000000" w:rsidRPr="004A3B0B" w:rsidP="004A3B0B">
      <w:pPr>
        <w:pStyle w:val="AllowPageBreak"/>
      </w:pPr>
    </w:p>
    <w:p w:rsidR="00000000" w:rsidRPr="004A3B0B" w:rsidP="004A3B0B">
      <w:pPr>
        <w:pStyle w:val="Heading1"/>
      </w:pPr>
      <w:bookmarkStart w:id="8" w:name="O_746029"/>
      <w:bookmarkEnd w:id="8"/>
      <w:r w:rsidRPr="004A3B0B">
        <w:t>Unit Mapping Information</w:t>
      </w:r>
    </w:p>
    <w:p w:rsidR="00000000" w:rsidRPr="004A3B0B" w:rsidP="00F22FF8">
      <w:pPr>
        <w:pStyle w:val="BodyText"/>
      </w:pPr>
      <w:r w:rsidRPr="004A3B0B">
        <w:t>No equivalent unit.</w:t>
      </w:r>
    </w:p>
    <w:p w:rsidR="00000000" w:rsidRPr="004A3B0B" w:rsidP="004A3B0B">
      <w:pPr>
        <w:pStyle w:val="Heading1"/>
      </w:pPr>
      <w:bookmarkStart w:id="9" w:name="O_746039"/>
      <w:bookmarkEnd w:id="9"/>
      <w:r w:rsidRPr="004A3B0B">
        <w:t>Links</w:t>
      </w:r>
    </w:p>
    <w:p w:rsidR="00000000" w:rsidRPr="004A3B0B" w:rsidP="00F22FF8">
      <w:pPr>
        <w:pStyle w:val="BodyText"/>
      </w:pPr>
      <w:r w:rsidRPr="004A3B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0529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A3B0B" w:rsidP="00F22FF8">
      <w:pPr>
        <w:pStyle w:val="BodyText"/>
      </w:pPr>
      <w:r w:rsidRPr="004A3B0B">
        <w:t>C</w:t>
      </w:r>
      <w:r w:rsidRPr="004A3B0B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0529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A3B0B" w:rsidP="00F22FF8">
      <w:pPr>
        <w:pStyle w:val="BodyText"/>
      </w:pPr>
      <w:r w:rsidRPr="004A3B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0529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A3B0B" w:rsidP="00F22FF8">
      <w:pPr>
        <w:pStyle w:val="BodyText"/>
      </w:pPr>
      <w:r w:rsidRPr="004A3B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0529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A3B0B" w:rsidP="004A3B0B"/>
    <w:sectPr w:rsidSect="004A3B0B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0B" w:rsidRPr="00F22FF8" w:rsidP="00F22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F8" w:rsidP="004A3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FF8" w:rsidP="004A3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2FF8" w:rsidP="004A3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B0B" w:rsidRPr="00F22FF8" w:rsidP="00F22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F8" w:rsidRPr="002D2AF8" w:rsidP="004A3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NWPSOU001 Respond to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F22FF8" w:rsidP="004A3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A21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F8F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B0B"/>
  </w:style>
  <w:style w:type="character" w:customStyle="1" w:styleId="Heading1Char">
    <w:name w:val="Heading 1 Char"/>
    <w:basedOn w:val="DefaultParagraphFont"/>
    <w:link w:val="Heading1"/>
    <w:rsid w:val="004A3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B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3B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B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B0B"/>
    <w:rPr>
      <w:b/>
      <w:spacing w:val="0"/>
    </w:rPr>
  </w:style>
  <w:style w:type="paragraph" w:customStyle="1" w:styleId="SuperHeading">
    <w:name w:val="SuperHeading"/>
    <w:basedOn w:val="Normal"/>
    <w:rsid w:val="004A3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3B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3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3B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3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B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3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B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B0B"/>
    <w:rPr>
      <w:i/>
    </w:rPr>
  </w:style>
  <w:style w:type="paragraph" w:styleId="Caption">
    <w:name w:val="caption"/>
    <w:basedOn w:val="BodyText"/>
    <w:next w:val="Normal"/>
    <w:qFormat/>
    <w:rsid w:val="004A3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B0B"/>
  </w:style>
  <w:style w:type="paragraph" w:styleId="TableofFigures">
    <w:name w:val="table of figures"/>
    <w:basedOn w:val="Normal"/>
    <w:next w:val="Normal"/>
    <w:semiHidden/>
    <w:rsid w:val="004A3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B0B"/>
    <w:pPr>
      <w:numPr>
        <w:numId w:val="10"/>
      </w:numPr>
    </w:pPr>
  </w:style>
  <w:style w:type="character" w:customStyle="1" w:styleId="WingdingSymbols">
    <w:name w:val="Wingding Symbols"/>
    <w:rsid w:val="004A3B0B"/>
    <w:rPr>
      <w:rFonts w:ascii="Wingdings" w:hAnsi="Wingdings"/>
    </w:rPr>
  </w:style>
  <w:style w:type="character" w:customStyle="1" w:styleId="HotSpot">
    <w:name w:val="HotSpot"/>
    <w:rsid w:val="004A3B0B"/>
    <w:rPr>
      <w:color w:val="0033CC"/>
      <w:u w:val="none"/>
    </w:rPr>
  </w:style>
  <w:style w:type="paragraph" w:customStyle="1" w:styleId="BodyTextRight">
    <w:name w:val="Body Text Right"/>
    <w:basedOn w:val="BodyText"/>
    <w:rsid w:val="004A3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B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B0B"/>
    <w:rPr>
      <w:sz w:val="32"/>
    </w:rPr>
  </w:style>
  <w:style w:type="paragraph" w:customStyle="1" w:styleId="HeadingProcedure">
    <w:name w:val="Heading Procedure"/>
    <w:basedOn w:val="HeadingBase"/>
    <w:next w:val="Normal"/>
    <w:rsid w:val="004A3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B0B"/>
    <w:pPr>
      <w:spacing w:before="60" w:after="60"/>
    </w:pPr>
  </w:style>
  <w:style w:type="paragraph" w:styleId="ListContinue">
    <w:name w:val="List Continue"/>
    <w:basedOn w:val="List"/>
    <w:rsid w:val="004A3B0B"/>
    <w:pPr>
      <w:ind w:firstLine="0"/>
    </w:pPr>
  </w:style>
  <w:style w:type="paragraph" w:customStyle="1" w:styleId="ListNote">
    <w:name w:val="List Note"/>
    <w:basedOn w:val="List"/>
    <w:rsid w:val="004A3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B0B"/>
    <w:rPr>
      <w:rFonts w:ascii="Courier New" w:hAnsi="Courier New"/>
    </w:rPr>
  </w:style>
  <w:style w:type="paragraph" w:customStyle="1" w:styleId="NoteBullet">
    <w:name w:val="Note Bullet"/>
    <w:basedOn w:val="Note"/>
    <w:rsid w:val="004A3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B0B"/>
    <w:rPr>
      <w:b/>
      <w:smallCaps/>
    </w:rPr>
  </w:style>
  <w:style w:type="paragraph" w:customStyle="1" w:styleId="TableListNumber">
    <w:name w:val="Table List Number"/>
    <w:basedOn w:val="ListNumber"/>
    <w:rsid w:val="004A3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B0B"/>
    <w:pPr>
      <w:numPr>
        <w:numId w:val="8"/>
      </w:numPr>
    </w:pPr>
  </w:style>
  <w:style w:type="paragraph" w:customStyle="1" w:styleId="ListAlpha2">
    <w:name w:val="List Alpha 2"/>
    <w:basedOn w:val="List2"/>
    <w:rsid w:val="004A3B0B"/>
    <w:pPr>
      <w:numPr>
        <w:numId w:val="7"/>
      </w:numPr>
    </w:pPr>
  </w:style>
  <w:style w:type="paragraph" w:styleId="List2">
    <w:name w:val="List 2"/>
    <w:basedOn w:val="BodyText"/>
    <w:rsid w:val="004A3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B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B0B"/>
    <w:pPr>
      <w:numPr>
        <w:numId w:val="3"/>
      </w:numPr>
    </w:pPr>
  </w:style>
  <w:style w:type="paragraph" w:styleId="ListContinue2">
    <w:name w:val="List Continue 2"/>
    <w:basedOn w:val="List2"/>
    <w:rsid w:val="004A3B0B"/>
    <w:pPr>
      <w:ind w:firstLine="0"/>
    </w:pPr>
  </w:style>
  <w:style w:type="paragraph" w:styleId="ListContinue3">
    <w:name w:val="List Continue 3"/>
    <w:basedOn w:val="List3"/>
    <w:rsid w:val="004A3B0B"/>
    <w:pPr>
      <w:ind w:left="1021" w:firstLine="0"/>
    </w:pPr>
  </w:style>
  <w:style w:type="paragraph" w:styleId="ListContinue4">
    <w:name w:val="List Continue 4"/>
    <w:basedOn w:val="List4"/>
    <w:rsid w:val="004A3B0B"/>
    <w:pPr>
      <w:ind w:firstLine="0"/>
    </w:pPr>
  </w:style>
  <w:style w:type="paragraph" w:styleId="ListContinue5">
    <w:name w:val="List Continue 5"/>
    <w:basedOn w:val="List5"/>
    <w:rsid w:val="004A3B0B"/>
    <w:pPr>
      <w:ind w:firstLine="0"/>
    </w:pPr>
  </w:style>
  <w:style w:type="paragraph" w:styleId="ListNumber3">
    <w:name w:val="List Number 3"/>
    <w:basedOn w:val="List3"/>
    <w:rsid w:val="004A3B0B"/>
    <w:pPr>
      <w:numPr>
        <w:numId w:val="4"/>
      </w:numPr>
    </w:pPr>
  </w:style>
  <w:style w:type="paragraph" w:styleId="ListNumber4">
    <w:name w:val="List Number 4"/>
    <w:basedOn w:val="List4"/>
    <w:rsid w:val="004A3B0B"/>
    <w:pPr>
      <w:numPr>
        <w:numId w:val="5"/>
      </w:numPr>
    </w:pPr>
  </w:style>
  <w:style w:type="paragraph" w:styleId="ListNumber5">
    <w:name w:val="List Number 5"/>
    <w:basedOn w:val="List5"/>
    <w:rsid w:val="004A3B0B"/>
    <w:pPr>
      <w:numPr>
        <w:numId w:val="6"/>
      </w:numPr>
    </w:pPr>
  </w:style>
  <w:style w:type="paragraph" w:styleId="BlockText">
    <w:name w:val="Block Text"/>
    <w:basedOn w:val="Normal"/>
    <w:rsid w:val="004A3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B0B"/>
    <w:rPr>
      <w:sz w:val="16"/>
      <w:vertAlign w:val="superscript"/>
    </w:rPr>
  </w:style>
  <w:style w:type="character" w:customStyle="1" w:styleId="Symbols">
    <w:name w:val="Symbols"/>
    <w:basedOn w:val="DefaultParagraphFont"/>
    <w:rsid w:val="004A3B0B"/>
    <w:rPr>
      <w:rFonts w:ascii="Symbol" w:hAnsi="Symbol"/>
    </w:rPr>
  </w:style>
  <w:style w:type="character" w:customStyle="1" w:styleId="MenuOptions">
    <w:name w:val="Menu Options"/>
    <w:basedOn w:val="DefaultParagraphFont"/>
    <w:rsid w:val="004A3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B0B"/>
    <w:rPr>
      <w:b/>
    </w:rPr>
  </w:style>
  <w:style w:type="character" w:customStyle="1" w:styleId="Underlined">
    <w:name w:val="Underlined"/>
    <w:basedOn w:val="DefaultParagraphFont"/>
    <w:rsid w:val="004A3B0B"/>
    <w:rPr>
      <w:u w:val="single"/>
    </w:rPr>
  </w:style>
  <w:style w:type="paragraph" w:customStyle="1" w:styleId="TableBodyTextRight">
    <w:name w:val="Table Body Text Right"/>
    <w:basedOn w:val="TableBodyText"/>
    <w:rsid w:val="004A3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B0B"/>
    <w:rPr>
      <w:sz w:val="18"/>
    </w:rPr>
  </w:style>
  <w:style w:type="paragraph" w:customStyle="1" w:styleId="BodySmallRight">
    <w:name w:val="Body Small Right"/>
    <w:basedOn w:val="BodyTextRight"/>
    <w:rsid w:val="004A3B0B"/>
    <w:rPr>
      <w:sz w:val="18"/>
      <w:szCs w:val="18"/>
    </w:rPr>
  </w:style>
  <w:style w:type="paragraph" w:customStyle="1" w:styleId="MarginEdition">
    <w:name w:val="Margin Edition"/>
    <w:basedOn w:val="MarginNote"/>
    <w:rsid w:val="004A3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B0B"/>
    <w:rPr>
      <w:sz w:val="2"/>
      <w:szCs w:val="2"/>
    </w:rPr>
  </w:style>
  <w:style w:type="character" w:customStyle="1" w:styleId="Small">
    <w:name w:val="Small"/>
    <w:basedOn w:val="DefaultParagraphFont"/>
    <w:rsid w:val="004A3B0B"/>
    <w:rPr>
      <w:sz w:val="16"/>
    </w:rPr>
  </w:style>
  <w:style w:type="paragraph" w:customStyle="1" w:styleId="WideTable">
    <w:name w:val="Wide Table"/>
    <w:basedOn w:val="Normal"/>
    <w:rsid w:val="004A3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B0B"/>
  </w:style>
  <w:style w:type="paragraph" w:styleId="Quote">
    <w:name w:val="Quote"/>
    <w:basedOn w:val="Heading1"/>
    <w:link w:val="QuoteChar"/>
    <w:qFormat/>
    <w:rsid w:val="004A3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B0B"/>
    <w:pPr>
      <w:pageBreakBefore/>
    </w:pPr>
  </w:style>
  <w:style w:type="paragraph" w:customStyle="1" w:styleId="Border">
    <w:name w:val="Border"/>
    <w:basedOn w:val="Normal"/>
    <w:qFormat/>
    <w:rsid w:val="004A3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B0B"/>
    <w:rPr>
      <w:u w:val="single"/>
    </w:rPr>
  </w:style>
  <w:style w:type="paragraph" w:styleId="BalloonText">
    <w:name w:val="Balloon Text"/>
    <w:basedOn w:val="Normal"/>
    <w:link w:val="BalloonTextChar"/>
    <w:rsid w:val="004A3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B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2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3510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NWPSOU001 Respond to blue-green algae outbreaks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2018-12-21T02:00:00Z</dcterms:created>
  <dcterms:modified xsi:type="dcterms:W3CDTF">2018-12-21T02:00:00Z</dcterms:modified>
</cp:coreProperties>
</file>