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84F" w:rsidP="00D01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NWPNET056 Coordinate and monitor network asset construction</w:t>
      </w:r>
      <w:r>
        <w:fldChar w:fldCharType="end"/>
      </w:r>
    </w:p>
    <w:p w:rsidR="00D0184F" w:rsidP="00D0184F">
      <w:pPr>
        <w:pStyle w:val="Version"/>
        <w:sectPr w:rsidSect="001802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22C" w:rsidP="0018022C">
      <w:pPr>
        <w:pStyle w:val="SuperHeading"/>
      </w:pPr>
      <w:r w:rsidRPr="0018022C">
        <w:t>NWPNET056 Coordinate and monitor network asset construction</w:t>
      </w:r>
    </w:p>
    <w:p w:rsidR="00000000" w:rsidRPr="0018022C" w:rsidP="0018022C">
      <w:pPr>
        <w:pStyle w:val="Heading1"/>
      </w:pPr>
      <w:bookmarkStart w:id="1" w:name="O_1122582"/>
      <w:bookmarkEnd w:id="1"/>
      <w:r w:rsidRPr="001802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t>Release 1. This is the first release of this unit of competency in the NWP National Water Training Package.</w:t>
            </w:r>
          </w:p>
        </w:tc>
      </w:tr>
    </w:tbl>
    <w:p w:rsidR="00D0184F" w:rsidP="0018022C">
      <w:pPr>
        <w:pStyle w:val="NoPaddingFontSize1"/>
      </w:pPr>
    </w:p>
    <w:p w:rsidR="00D0184F" w:rsidP="0018022C">
      <w:pPr>
        <w:pStyle w:val="NoPaddingFontSize1"/>
      </w:pPr>
    </w:p>
    <w:p w:rsidR="00000000" w:rsidRPr="0018022C" w:rsidP="0018022C">
      <w:pPr>
        <w:pStyle w:val="Heading1"/>
      </w:pPr>
      <w:bookmarkStart w:id="2" w:name="O_1122583"/>
      <w:bookmarkEnd w:id="2"/>
      <w:r w:rsidRPr="001802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t>This unit involves the skills and knowledge required to coordinate and moni</w:t>
            </w:r>
            <w:r w:rsidRPr="0018022C">
              <w:t>tor network asset construction.</w:t>
            </w:r>
          </w:p>
          <w:p w:rsidR="00000000" w:rsidRPr="0018022C" w:rsidP="0018022C">
            <w:pPr>
              <w:pStyle w:val="BodyText"/>
            </w:pPr>
            <w:r w:rsidRPr="0018022C">
              <w:t xml:space="preserve">It includes site management and associated commissioning and post-commissioning activities, conducting often complex planning of activities, scheduling and resourcing projects and monitoring the project to ensure completion </w:t>
            </w:r>
            <w:r w:rsidRPr="0018022C">
              <w:t>of the work in line with organisational requirements to the required quality.</w:t>
            </w:r>
          </w:p>
          <w:p w:rsidR="00000000" w:rsidRPr="0018022C" w:rsidP="0018022C">
            <w:pPr>
              <w:pStyle w:val="BodyText"/>
            </w:pPr>
            <w:r w:rsidRPr="0018022C">
              <w:t>This unit applies to those working as operators with responsibility for ensuring network asset construction activities are performed and completed in compliance with all relevant</w:t>
            </w:r>
            <w:r w:rsidRPr="0018022C">
              <w:t xml:space="preserve"> organisational and statutory requirements. Those undertaking this unit would work autonomously, usually with supervisory responsibilities, while performing complex tasks in a range of contexts.</w:t>
            </w:r>
          </w:p>
          <w:p w:rsidR="00000000" w:rsidRPr="0018022C" w:rsidP="0018022C">
            <w:pPr>
              <w:pStyle w:val="BodyText"/>
            </w:pPr>
            <w:r w:rsidRPr="0018022C">
              <w:t>No licensing, legislative or certification requirements apply</w:t>
            </w:r>
            <w:r w:rsidRPr="0018022C">
              <w:t xml:space="preserve"> to this unit at the time of publication.</w:t>
            </w:r>
          </w:p>
        </w:tc>
      </w:tr>
    </w:tbl>
    <w:p w:rsidR="00000000" w:rsidRPr="0018022C" w:rsidP="0018022C">
      <w:pPr>
        <w:pStyle w:val="NoPaddingFontSize1"/>
      </w:pPr>
    </w:p>
    <w:p w:rsidR="00000000" w:rsidRPr="0018022C" w:rsidP="0018022C">
      <w:pPr>
        <w:pStyle w:val="AllowPageBreak"/>
      </w:pPr>
    </w:p>
    <w:p w:rsidR="00000000" w:rsidRPr="0018022C" w:rsidP="0018022C">
      <w:pPr>
        <w:pStyle w:val="Heading1"/>
      </w:pPr>
      <w:bookmarkStart w:id="3" w:name="O_1122584"/>
      <w:bookmarkEnd w:id="3"/>
      <w:r w:rsidRPr="001802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t>Not applicable.</w:t>
            </w:r>
          </w:p>
        </w:tc>
      </w:tr>
    </w:tbl>
    <w:p w:rsidR="00D0184F" w:rsidP="0018022C">
      <w:pPr>
        <w:pStyle w:val="NoPaddingFontSize1"/>
      </w:pPr>
    </w:p>
    <w:p w:rsidR="00D0184F" w:rsidP="0018022C">
      <w:pPr>
        <w:pStyle w:val="NoPaddingFontSize1"/>
      </w:pPr>
    </w:p>
    <w:p w:rsidR="00000000" w:rsidRPr="0018022C" w:rsidP="0018022C">
      <w:pPr>
        <w:pStyle w:val="Heading1"/>
      </w:pPr>
      <w:bookmarkStart w:id="4" w:name="O_1122585"/>
      <w:bookmarkEnd w:id="4"/>
      <w:r w:rsidRPr="001802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t>Networks</w:t>
            </w:r>
          </w:p>
        </w:tc>
      </w:tr>
    </w:tbl>
    <w:p w:rsidR="00D0184F" w:rsidP="0018022C">
      <w:pPr>
        <w:pStyle w:val="NoPaddingFontSize1"/>
      </w:pPr>
    </w:p>
    <w:p w:rsidR="00D0184F" w:rsidP="0018022C">
      <w:pPr>
        <w:pStyle w:val="NoPaddingFontSize1"/>
      </w:pPr>
    </w:p>
    <w:p w:rsidR="00000000" w:rsidRPr="0018022C" w:rsidP="0018022C">
      <w:pPr>
        <w:pStyle w:val="Heading1"/>
      </w:pPr>
      <w:bookmarkStart w:id="5" w:name="O_1122586"/>
      <w:bookmarkEnd w:id="5"/>
      <w:r w:rsidRPr="001802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t>Not applicable.</w:t>
            </w:r>
          </w:p>
        </w:tc>
      </w:tr>
    </w:tbl>
    <w:p w:rsidR="00D0184F" w:rsidP="0018022C">
      <w:pPr>
        <w:pStyle w:val="NoPaddingFontSize1"/>
      </w:pPr>
    </w:p>
    <w:p w:rsidR="00D0184F" w:rsidP="0018022C">
      <w:pPr>
        <w:pStyle w:val="NoPaddingFontSize1"/>
      </w:pPr>
    </w:p>
    <w:p w:rsidR="00000000" w:rsidRPr="0018022C" w:rsidP="0018022C">
      <w:pPr>
        <w:pStyle w:val="Heading1"/>
      </w:pPr>
      <w:bookmarkStart w:id="6" w:name="O_1122587"/>
      <w:bookmarkEnd w:id="6"/>
      <w:r w:rsidRPr="0018022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PERFORMANCE CRITERIA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Performance criteria describe the performance needed to demonstrate achievement of the element.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rPr>
                <w:rStyle w:val="SpecialBold"/>
              </w:rPr>
              <w:t>Prepare for network</w:t>
            </w:r>
            <w:r w:rsidRPr="0018022C">
              <w:t xml:space="preserve"> </w:t>
            </w:r>
            <w:r w:rsidRPr="0018022C">
              <w:rPr>
                <w:rStyle w:val="SpecialBold"/>
              </w:rPr>
              <w:t>asset construction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Conduct risk assessment and propose appropriate control measures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Determine and record work requirements, equipment, materials and configurations according to task from plans, specifications, instructions and organisational procedures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Conduct site inspections and audits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Select and source materials to complete work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Sequence and schedule work to meet organisational requirements for the efficient completion of the project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Confirm networks system operational plans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Identify and address stakeholder issues according to organisational requirements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Identify and check construction guidelines, standards and other regulatory requirements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Collate and check project documentation and assess for impact on work</w:t>
            </w:r>
            <w:r w:rsidRPr="0018022C">
              <w:t xml:space="preserve"> planning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Identify and specify roles and responsibilities of relevant personnel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rPr>
                <w:rStyle w:val="SpecialBold"/>
              </w:rPr>
              <w:t>Monitor construction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Monitor material handling procedures according to risk assessment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Monitor tasks and jobs to ensure compliance with plans in terms of time frames, quality assurance issues and organisational requirements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Conduct inspections by applying commissioning programs according to commissioning and stakeholder requirements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Monitor test results to ensure network assets function within specifications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Provide guidance to relevant personnel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rPr>
                <w:rStyle w:val="SpecialBold"/>
              </w:rPr>
              <w:t>Conduct post construction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Monitor network asset performance and undertake a review of the construction or installation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Identify defects and schedule repairs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Ensure completion and recording of all reports and documentation according to workplace procedures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Commu</w:t>
            </w:r>
            <w:r w:rsidRPr="0018022C">
              <w:t>nicate any resources reallocation or rescheduling to relevant personnel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t>Confirm and certify completion of construction or installation</w:t>
            </w:r>
          </w:p>
        </w:tc>
      </w:tr>
    </w:tbl>
    <w:p w:rsidR="00D0184F" w:rsidP="0018022C">
      <w:pPr>
        <w:pStyle w:val="NoPaddingFontSize1"/>
      </w:pPr>
    </w:p>
    <w:p w:rsidR="00D0184F" w:rsidP="0018022C">
      <w:pPr>
        <w:pStyle w:val="NoPaddingFontSize1"/>
      </w:pPr>
    </w:p>
    <w:p w:rsidR="00000000" w:rsidRPr="0018022C" w:rsidP="0018022C">
      <w:pPr>
        <w:pStyle w:val="Heading1"/>
      </w:pPr>
      <w:bookmarkStart w:id="7" w:name="O_1122588"/>
      <w:bookmarkEnd w:id="7"/>
      <w:r w:rsidRPr="001802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t>Foundation skills essential to performance are explicit in the performance criteria of this unit of competency.</w:t>
            </w:r>
          </w:p>
        </w:tc>
      </w:tr>
    </w:tbl>
    <w:p w:rsidR="00D0184F" w:rsidP="0018022C">
      <w:pPr>
        <w:pStyle w:val="NoPaddingFontSize1"/>
      </w:pPr>
    </w:p>
    <w:p w:rsidR="00D0184F" w:rsidP="0018022C">
      <w:pPr>
        <w:pStyle w:val="NoPaddingFontSize1"/>
      </w:pPr>
    </w:p>
    <w:p w:rsidR="00000000" w:rsidRPr="0018022C" w:rsidP="0018022C">
      <w:pPr>
        <w:pStyle w:val="Heading1"/>
      </w:pPr>
      <w:bookmarkStart w:id="8" w:name="O_1122589"/>
      <w:bookmarkEnd w:id="8"/>
      <w:r w:rsidRPr="001802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t>Range is restricted to essential operating conditions and any other variables essential to the work en</w:t>
            </w:r>
            <w:r w:rsidRPr="0018022C">
              <w:t>vironment.</w:t>
            </w:r>
          </w:p>
          <w:p w:rsidR="00000000" w:rsidRPr="0018022C" w:rsidP="0018022C">
            <w:pPr>
              <w:pStyle w:val="BodyText"/>
            </w:pPr>
            <w:r w:rsidRPr="0018022C">
              <w:t>Non-essential conditions may be found in the Companion Volume Implementation Guide.</w:t>
            </w:r>
          </w:p>
        </w:tc>
      </w:tr>
    </w:tbl>
    <w:p w:rsidR="00D0184F" w:rsidP="0018022C">
      <w:pPr>
        <w:pStyle w:val="NoPaddingFontSize1"/>
      </w:pPr>
    </w:p>
    <w:p w:rsidR="00D0184F" w:rsidP="0018022C">
      <w:pPr>
        <w:pStyle w:val="NoPaddingFontSize1"/>
      </w:pPr>
    </w:p>
    <w:p w:rsidR="00000000" w:rsidRPr="0018022C" w:rsidP="0018022C">
      <w:pPr>
        <w:pStyle w:val="Heading1"/>
      </w:pPr>
      <w:bookmarkStart w:id="9" w:name="O_1122590"/>
      <w:bookmarkEnd w:id="9"/>
      <w:r w:rsidRPr="001802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t>This unit replaces and is equivalent to NWPNET033 Coordinate and monitor water asset construction.</w:t>
            </w:r>
          </w:p>
        </w:tc>
      </w:tr>
    </w:tbl>
    <w:p w:rsidR="00D0184F" w:rsidP="0018022C">
      <w:pPr>
        <w:pStyle w:val="NoPaddingFontSize1"/>
      </w:pPr>
    </w:p>
    <w:p w:rsidR="00D0184F" w:rsidP="0018022C">
      <w:pPr>
        <w:pStyle w:val="NoPaddingFontSize1"/>
      </w:pPr>
    </w:p>
    <w:p w:rsidR="00000000" w:rsidRPr="0018022C" w:rsidP="0018022C">
      <w:pPr>
        <w:pStyle w:val="Heading1"/>
      </w:pPr>
      <w:bookmarkStart w:id="10" w:name="O_1122597"/>
      <w:bookmarkEnd w:id="10"/>
      <w:r w:rsidRPr="0018022C">
        <w:t>Links</w:t>
      </w:r>
    </w:p>
    <w:p w:rsidR="00000000" w:rsidRPr="0018022C" w:rsidP="00D0184F">
      <w:pPr>
        <w:pStyle w:val="BodyText"/>
      </w:pPr>
      <w:r w:rsidRPr="001802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2266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8022C" w:rsidP="00D0184F">
      <w:pPr>
        <w:pStyle w:val="BodyText"/>
        <w:sectPr w:rsidSect="001802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022C" w:rsidP="0018022C">
      <w:pPr>
        <w:pStyle w:val="SuperHeading"/>
      </w:pPr>
      <w:r w:rsidRPr="0018022C">
        <w:t>Assessment Requirements for NWPNET056 Coordinate</w:t>
      </w:r>
      <w:r w:rsidRPr="0018022C">
        <w:t xml:space="preserve"> and monitor network asset construction</w:t>
      </w:r>
    </w:p>
    <w:p w:rsidR="00000000" w:rsidRPr="0018022C" w:rsidP="0018022C">
      <w:pPr>
        <w:pStyle w:val="Heading1"/>
      </w:pPr>
      <w:bookmarkStart w:id="11" w:name="O_1122592"/>
      <w:bookmarkEnd w:id="11"/>
      <w:r w:rsidRPr="001802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t>Release 1. This is the first release of this unit of competency in the NWP National Water Training Package.</w:t>
            </w:r>
          </w:p>
        </w:tc>
      </w:tr>
    </w:tbl>
    <w:p w:rsidR="00D0184F" w:rsidP="0018022C">
      <w:pPr>
        <w:pStyle w:val="NoPaddingFontSize1"/>
      </w:pPr>
    </w:p>
    <w:p w:rsidR="00D0184F" w:rsidP="0018022C">
      <w:pPr>
        <w:pStyle w:val="NoPaddingFontSize1"/>
      </w:pPr>
    </w:p>
    <w:p w:rsidR="00000000" w:rsidRPr="0018022C" w:rsidP="0018022C">
      <w:pPr>
        <w:pStyle w:val="Heading1"/>
      </w:pPr>
      <w:bookmarkStart w:id="12" w:name="O_1122593"/>
      <w:bookmarkEnd w:id="12"/>
      <w:r w:rsidRPr="0018022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ListBullet"/>
            </w:pPr>
            <w:r w:rsidRPr="0018022C">
              <w:t>adjusting and altering designs</w:t>
            </w:r>
          </w:p>
          <w:p w:rsidR="00000000" w:rsidRPr="0018022C" w:rsidP="0018022C">
            <w:pPr>
              <w:pStyle w:val="ListBullet"/>
            </w:pPr>
            <w:r w:rsidRPr="0018022C">
              <w:t>ensuring organisational, planning</w:t>
            </w:r>
            <w:r w:rsidRPr="0018022C">
              <w:t xml:space="preserve"> and statutory obligations are met including stakeholder needs</w:t>
            </w:r>
          </w:p>
          <w:p w:rsidR="00000000" w:rsidRPr="0018022C" w:rsidP="0018022C">
            <w:pPr>
              <w:pStyle w:val="ListBullet"/>
            </w:pPr>
            <w:r w:rsidRPr="0018022C">
              <w:t>exercising judgement if the project plan or schedule requires revision due to unforeseen circumstances</w:t>
            </w:r>
          </w:p>
          <w:p w:rsidR="00000000" w:rsidRPr="0018022C" w:rsidP="0018022C">
            <w:pPr>
              <w:pStyle w:val="ListBullet"/>
            </w:pPr>
            <w:r w:rsidRPr="0018022C">
              <w:t>identifying and securing required resources to complete work</w:t>
            </w:r>
          </w:p>
          <w:p w:rsidR="00000000" w:rsidRPr="0018022C" w:rsidP="0018022C">
            <w:pPr>
              <w:pStyle w:val="ListBullet"/>
            </w:pPr>
            <w:r w:rsidRPr="0018022C">
              <w:t xml:space="preserve">managing costs </w:t>
            </w:r>
          </w:p>
          <w:p w:rsidR="00000000" w:rsidRPr="0018022C" w:rsidP="0018022C">
            <w:pPr>
              <w:pStyle w:val="ListBullet"/>
            </w:pPr>
            <w:r w:rsidRPr="0018022C">
              <w:t>managing risk</w:t>
            </w:r>
            <w:r w:rsidRPr="0018022C">
              <w:t xml:space="preserve">s </w:t>
            </w:r>
          </w:p>
          <w:p w:rsidR="00000000" w:rsidRPr="0018022C" w:rsidP="0018022C">
            <w:pPr>
              <w:pStyle w:val="ListBullet"/>
            </w:pPr>
            <w:r w:rsidRPr="0018022C">
              <w:t>monitoring the project plan or schedule</w:t>
            </w:r>
          </w:p>
          <w:p w:rsidR="00000000" w:rsidRPr="0018022C" w:rsidP="0018022C">
            <w:pPr>
              <w:pStyle w:val="ListBullet"/>
            </w:pPr>
            <w:r w:rsidRPr="0018022C">
              <w:t>overseeing and ensuring quality outcomes are achieved</w:t>
            </w:r>
          </w:p>
          <w:p w:rsidR="00000000" w:rsidRPr="0018022C" w:rsidP="0018022C">
            <w:pPr>
              <w:pStyle w:val="ListBullet"/>
            </w:pPr>
            <w:r w:rsidRPr="0018022C">
              <w:t>providing targeted, timely and constructive feedback to relevant personnel</w:t>
            </w:r>
          </w:p>
          <w:p w:rsidR="00000000" w:rsidRPr="0018022C" w:rsidP="0018022C">
            <w:pPr>
              <w:pStyle w:val="ListBullet"/>
            </w:pPr>
            <w:r w:rsidRPr="0018022C">
              <w:t>reporting the outcomes</w:t>
            </w:r>
          </w:p>
          <w:p w:rsidR="00000000" w:rsidRPr="0018022C" w:rsidP="0018022C">
            <w:pPr>
              <w:pStyle w:val="ListBullet"/>
            </w:pPr>
            <w:r w:rsidRPr="0018022C">
              <w:t>scheduling and sequencing of the project</w:t>
            </w:r>
          </w:p>
          <w:p w:rsidR="00000000" w:rsidRPr="0018022C" w:rsidP="0018022C">
            <w:pPr>
              <w:pStyle w:val="ListBullet"/>
            </w:pPr>
            <w:r w:rsidRPr="0018022C">
              <w:t>supervising and advising relevant personnel</w:t>
            </w:r>
          </w:p>
        </w:tc>
      </w:tr>
    </w:tbl>
    <w:p w:rsidR="00000000" w:rsidRPr="0018022C" w:rsidP="0018022C">
      <w:pPr>
        <w:pStyle w:val="NoPaddingFontSize1"/>
      </w:pPr>
    </w:p>
    <w:p w:rsidR="00000000" w:rsidRPr="0018022C" w:rsidP="0018022C">
      <w:pPr>
        <w:pStyle w:val="AllowPageBreak"/>
      </w:pPr>
    </w:p>
    <w:p w:rsidR="00000000" w:rsidRPr="0018022C" w:rsidP="0018022C">
      <w:pPr>
        <w:pStyle w:val="Heading1"/>
      </w:pPr>
      <w:bookmarkStart w:id="13" w:name="O_1122594"/>
      <w:bookmarkEnd w:id="13"/>
      <w:r w:rsidRPr="0018022C">
        <w:t>Knowledge Evidence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18022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2C">
            <w:pPr>
              <w:pStyle w:val="BodyText"/>
              <w:rPr>
                <w:lang w:val="en-NZ"/>
              </w:rPr>
            </w:pPr>
            <w:r w:rsidRPr="0018022C">
              <w:t>Evidence required to demonstrate competence in this unit must be relevant to and satisfy all the requirements of the elements and performance criteria and include knowledge</w:t>
            </w:r>
            <w:r w:rsidRPr="0018022C">
              <w:t xml:space="preserve"> of:</w:t>
            </w:r>
          </w:p>
        </w:tc>
      </w:tr>
      <w:tr w:rsidTr="0018022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ListBullet"/>
            </w:pPr>
            <w:r w:rsidRPr="0018022C">
              <w:t>characteristics, technical capabilities and limitations of materials and equipment according to manufacturer specifications</w:t>
            </w:r>
          </w:p>
          <w:p w:rsidR="00000000" w:rsidRPr="0018022C" w:rsidP="0018022C">
            <w:pPr>
              <w:pStyle w:val="ListBullet"/>
            </w:pPr>
            <w:r w:rsidRPr="0018022C">
              <w:t>evaluation and investigation requirements</w:t>
            </w:r>
          </w:p>
          <w:p w:rsidR="00000000" w:rsidRPr="0018022C" w:rsidP="0018022C">
            <w:pPr>
              <w:pStyle w:val="ListBullet"/>
            </w:pPr>
            <w:r w:rsidRPr="0018022C">
              <w:t>organisational auditing and recording procedures and reporting requirements</w:t>
            </w:r>
          </w:p>
          <w:p w:rsidR="00000000" w:rsidRPr="0018022C" w:rsidP="0018022C">
            <w:pPr>
              <w:pStyle w:val="ListBullet"/>
            </w:pPr>
            <w:r w:rsidRPr="0018022C">
              <w:t>organisational contract conditions and compliance</w:t>
            </w:r>
          </w:p>
          <w:p w:rsidR="00000000" w:rsidRPr="0018022C" w:rsidP="0018022C">
            <w:pPr>
              <w:pStyle w:val="ListBullet"/>
            </w:pPr>
            <w:r w:rsidRPr="0018022C">
              <w:t>relevant legislation, industry standards, organisational policies, procedures, guidelines and requirements</w:t>
            </w:r>
          </w:p>
          <w:p w:rsidR="00000000" w:rsidRPr="0018022C" w:rsidP="0018022C">
            <w:pPr>
              <w:pStyle w:val="ListBullet"/>
            </w:pPr>
            <w:r w:rsidRPr="0018022C">
              <w:t>risk factors and potential hazards</w:t>
            </w:r>
          </w:p>
          <w:p w:rsidR="00000000" w:rsidRPr="0018022C" w:rsidP="0018022C">
            <w:pPr>
              <w:pStyle w:val="ListBullet"/>
            </w:pPr>
            <w:r w:rsidRPr="0018022C">
              <w:t>system layout, integrity, design and performance</w:t>
            </w:r>
          </w:p>
        </w:tc>
      </w:tr>
    </w:tbl>
    <w:p w:rsidR="00000000" w:rsidRPr="0018022C" w:rsidP="0018022C">
      <w:pPr>
        <w:pStyle w:val="NoPaddingFontSize1"/>
      </w:pPr>
    </w:p>
    <w:p w:rsidR="00000000" w:rsidRPr="0018022C" w:rsidP="0018022C">
      <w:pPr>
        <w:pStyle w:val="AllowPageBreak"/>
      </w:pPr>
    </w:p>
    <w:p w:rsidR="00000000" w:rsidRPr="0018022C" w:rsidP="0018022C">
      <w:pPr>
        <w:pStyle w:val="Heading1"/>
      </w:pPr>
      <w:bookmarkStart w:id="14" w:name="O_1122595"/>
      <w:bookmarkEnd w:id="14"/>
      <w:r w:rsidRPr="0018022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2C" w:rsidP="0018022C">
            <w:pPr>
              <w:pStyle w:val="BodyText"/>
            </w:pPr>
            <w:r w:rsidRPr="0018022C">
              <w:t xml:space="preserve">Assessors must hold credentials specified within the Standards for Registered Training Organisations current at the time of assessment. </w:t>
            </w:r>
          </w:p>
          <w:p w:rsidR="00000000" w:rsidRPr="0018022C" w:rsidP="0018022C">
            <w:pPr>
              <w:pStyle w:val="BodyText"/>
            </w:pPr>
            <w:r w:rsidRPr="0018022C">
              <w:t>Assessment must satisfy the Principles of Assessment and Rules of Evidence and all regulato</w:t>
            </w:r>
            <w:r w:rsidRPr="0018022C">
              <w:t>ry requirements included within the Standards for Registered Training Organisations current at the time of assessment.</w:t>
            </w:r>
          </w:p>
          <w:p w:rsidR="00000000" w:rsidRPr="0018022C" w:rsidP="0018022C">
            <w:pPr>
              <w:pStyle w:val="BodyText"/>
            </w:pPr>
            <w:r w:rsidRPr="0018022C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18022C" w:rsidP="0018022C">
            <w:pPr>
              <w:pStyle w:val="BodyText"/>
            </w:pPr>
            <w:r w:rsidRPr="0018022C">
              <w:t>Assessment processes and tec</w:t>
            </w:r>
            <w:r w:rsidRPr="0018022C">
              <w:t>hniques must be appropriate to the language, literacy and numeracy requirements of the work being performed and the needs of the candidate.</w:t>
            </w:r>
          </w:p>
          <w:p w:rsidR="00000000" w:rsidRPr="0018022C" w:rsidP="0018022C">
            <w:pPr>
              <w:pStyle w:val="BodyText"/>
            </w:pPr>
            <w:r w:rsidRPr="0018022C">
              <w:t>Resources for assessment must include access to:</w:t>
            </w:r>
          </w:p>
          <w:p w:rsidR="00000000" w:rsidRPr="0018022C" w:rsidP="0018022C">
            <w:pPr>
              <w:pStyle w:val="ListBullet"/>
            </w:pPr>
            <w:r w:rsidRPr="0018022C">
              <w:t xml:space="preserve">relevant and appropriate materials, tools, equipment and personal </w:t>
            </w:r>
            <w:r w:rsidRPr="0018022C">
              <w:t>protective equipment currently used in industry</w:t>
            </w:r>
          </w:p>
          <w:p w:rsidR="00000000" w:rsidRPr="0018022C" w:rsidP="0018022C">
            <w:pPr>
              <w:pStyle w:val="ListBullet"/>
            </w:pPr>
            <w:r w:rsidRPr="0018022C">
              <w:t>applicable documentation including legislation, regulations, codes of practice, workplace procedures and operation manuals.</w:t>
            </w:r>
          </w:p>
        </w:tc>
      </w:tr>
    </w:tbl>
    <w:p w:rsidR="00000000" w:rsidRPr="0018022C" w:rsidP="0018022C">
      <w:pPr>
        <w:pStyle w:val="NoPaddingFontSize1"/>
      </w:pPr>
    </w:p>
    <w:p w:rsidR="00000000" w:rsidRPr="0018022C" w:rsidP="0018022C">
      <w:pPr>
        <w:pStyle w:val="AllowPageBreak"/>
      </w:pPr>
    </w:p>
    <w:p w:rsidR="00000000" w:rsidRPr="0018022C" w:rsidP="0018022C">
      <w:pPr>
        <w:pStyle w:val="Heading1"/>
      </w:pPr>
      <w:bookmarkStart w:id="15" w:name="O_1122598"/>
      <w:bookmarkEnd w:id="15"/>
      <w:r w:rsidRPr="0018022C">
        <w:t>Links</w:t>
      </w:r>
    </w:p>
    <w:p w:rsidR="00000000" w:rsidRPr="0018022C" w:rsidP="00D0184F">
      <w:pPr>
        <w:pStyle w:val="BodyText"/>
      </w:pPr>
      <w:r w:rsidRPr="0018022C">
        <w:t>Companion Volume implementation guides are found in VETNe</w:t>
      </w:r>
      <w:r w:rsidRPr="0018022C">
        <w:t xml:space="preserve">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2266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8022C" w:rsidP="0018022C"/>
    <w:sectPr w:rsidSect="001802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2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22C" w:rsidRPr="00D0184F" w:rsidP="00D01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2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84F" w:rsidP="001802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184F" w:rsidP="001802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0184F" w:rsidP="001802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22C" w:rsidP="001802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184F">
      <w:t>Approved</w:t>
    </w:r>
    <w:r w:rsidR="00D018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18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184F">
      <w:rPr>
        <w:noProof/>
      </w:rPr>
      <w:t>4</w:t>
    </w:r>
    <w:r>
      <w:rPr>
        <w:noProof/>
      </w:rPr>
      <w:fldChar w:fldCharType="end"/>
    </w:r>
  </w:p>
  <w:p w:rsidR="0018022C" w:rsidP="001802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18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184F">
      <w:t>BuildSkills Australia</w:t>
    </w:r>
    <w:r w:rsidR="00D0184F">
      <w:fldChar w:fldCharType="end"/>
    </w:r>
  </w:p>
  <w:p w:rsidR="0018022C" w:rsidP="001802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2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8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22C" w:rsidRPr="00D0184F" w:rsidP="00D018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2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84F" w:rsidRPr="002D2AF8" w:rsidP="001802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NWPNET056 Coordinate and monitor network asset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184F" w:rsidP="001802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22C" w:rsidRPr="002D2AF8" w:rsidP="001802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184F">
      <w:t>NWPNET056 Coordinate and monitor network asset construction</w:t>
    </w:r>
    <w:r w:rsidR="00D018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184F">
      <w:rPr>
        <w:noProof/>
      </w:rPr>
      <w:t>2 March 2025</w:t>
    </w:r>
    <w:r>
      <w:fldChar w:fldCharType="end"/>
    </w:r>
  </w:p>
  <w:p w:rsidR="0018022C" w:rsidP="001802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B0F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8A61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2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2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2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2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2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2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2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2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2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2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2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22C"/>
  </w:style>
  <w:style w:type="character" w:customStyle="1" w:styleId="Heading1Char">
    <w:name w:val="Heading 1 Char"/>
    <w:basedOn w:val="DefaultParagraphFont"/>
    <w:link w:val="Heading1"/>
    <w:rsid w:val="001802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2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2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2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22C"/>
    <w:rPr>
      <w:b/>
      <w:spacing w:val="0"/>
    </w:rPr>
  </w:style>
  <w:style w:type="paragraph" w:customStyle="1" w:styleId="SuperHeading">
    <w:name w:val="SuperHeading"/>
    <w:basedOn w:val="Normal"/>
    <w:rsid w:val="001802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2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02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2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2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2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2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2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2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2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2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2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2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2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2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2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2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2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2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2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2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02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02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2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2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2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2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2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2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2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2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22C"/>
    <w:rPr>
      <w:i/>
    </w:rPr>
  </w:style>
  <w:style w:type="paragraph" w:styleId="Caption">
    <w:name w:val="caption"/>
    <w:basedOn w:val="BodyText"/>
    <w:next w:val="Normal"/>
    <w:qFormat/>
    <w:rsid w:val="001802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2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2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22C"/>
  </w:style>
  <w:style w:type="paragraph" w:styleId="TableofFigures">
    <w:name w:val="table of figures"/>
    <w:basedOn w:val="Normal"/>
    <w:next w:val="Normal"/>
    <w:semiHidden/>
    <w:rsid w:val="001802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2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022C"/>
    <w:rPr>
      <w:rFonts w:ascii="Wingdings" w:hAnsi="Wingdings"/>
    </w:rPr>
  </w:style>
  <w:style w:type="paragraph" w:customStyle="1" w:styleId="TableHeading">
    <w:name w:val="Table Heading"/>
    <w:basedOn w:val="HeadingBase"/>
    <w:rsid w:val="001802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22C"/>
    <w:rPr>
      <w:color w:val="0033CC"/>
      <w:u w:val="none"/>
    </w:rPr>
  </w:style>
  <w:style w:type="paragraph" w:customStyle="1" w:styleId="BodyTextRight">
    <w:name w:val="Body Text Right"/>
    <w:basedOn w:val="BodyText"/>
    <w:rsid w:val="001802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2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2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2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2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2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22C"/>
    <w:rPr>
      <w:sz w:val="32"/>
    </w:rPr>
  </w:style>
  <w:style w:type="paragraph" w:customStyle="1" w:styleId="HeadingProcedure">
    <w:name w:val="Heading Procedure"/>
    <w:basedOn w:val="HeadingBase"/>
    <w:next w:val="Normal"/>
    <w:rsid w:val="001802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22C"/>
    <w:pPr>
      <w:spacing w:before="60" w:after="60"/>
    </w:pPr>
  </w:style>
  <w:style w:type="paragraph" w:styleId="ListContinue">
    <w:name w:val="List Continue"/>
    <w:basedOn w:val="List"/>
    <w:rsid w:val="0018022C"/>
    <w:pPr>
      <w:ind w:firstLine="0"/>
    </w:pPr>
  </w:style>
  <w:style w:type="paragraph" w:customStyle="1" w:styleId="ListNote">
    <w:name w:val="List Note"/>
    <w:basedOn w:val="List"/>
    <w:rsid w:val="001802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2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2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22C"/>
    <w:rPr>
      <w:rFonts w:ascii="Courier New" w:hAnsi="Courier New"/>
    </w:rPr>
  </w:style>
  <w:style w:type="paragraph" w:customStyle="1" w:styleId="NoteBullet">
    <w:name w:val="Note Bullet"/>
    <w:basedOn w:val="Note"/>
    <w:rsid w:val="001802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2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2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2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2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02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2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22C"/>
    <w:rPr>
      <w:b/>
      <w:smallCaps/>
    </w:rPr>
  </w:style>
  <w:style w:type="paragraph" w:customStyle="1" w:styleId="TableListNumber">
    <w:name w:val="Table List Number"/>
    <w:basedOn w:val="ListNumber"/>
    <w:rsid w:val="001802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2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22C"/>
    <w:pPr>
      <w:numPr>
        <w:numId w:val="8"/>
      </w:numPr>
    </w:pPr>
  </w:style>
  <w:style w:type="paragraph" w:customStyle="1" w:styleId="ListAlpha2">
    <w:name w:val="List Alpha 2"/>
    <w:basedOn w:val="List2"/>
    <w:rsid w:val="0018022C"/>
    <w:pPr>
      <w:numPr>
        <w:numId w:val="7"/>
      </w:numPr>
    </w:pPr>
  </w:style>
  <w:style w:type="paragraph" w:styleId="List2">
    <w:name w:val="List 2"/>
    <w:basedOn w:val="BodyText"/>
    <w:rsid w:val="001802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2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2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2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2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2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022C"/>
    <w:pPr>
      <w:numPr>
        <w:numId w:val="3"/>
      </w:numPr>
    </w:pPr>
  </w:style>
  <w:style w:type="paragraph" w:styleId="ListContinue2">
    <w:name w:val="List Continue 2"/>
    <w:basedOn w:val="List2"/>
    <w:rsid w:val="0018022C"/>
    <w:pPr>
      <w:ind w:firstLine="0"/>
    </w:pPr>
  </w:style>
  <w:style w:type="paragraph" w:styleId="ListContinue3">
    <w:name w:val="List Continue 3"/>
    <w:basedOn w:val="List3"/>
    <w:rsid w:val="0018022C"/>
    <w:pPr>
      <w:ind w:left="1021" w:firstLine="0"/>
    </w:pPr>
  </w:style>
  <w:style w:type="paragraph" w:styleId="ListContinue4">
    <w:name w:val="List Continue 4"/>
    <w:basedOn w:val="List4"/>
    <w:rsid w:val="0018022C"/>
    <w:pPr>
      <w:ind w:firstLine="0"/>
    </w:pPr>
  </w:style>
  <w:style w:type="paragraph" w:styleId="ListContinue5">
    <w:name w:val="List Continue 5"/>
    <w:basedOn w:val="List5"/>
    <w:rsid w:val="0018022C"/>
    <w:pPr>
      <w:ind w:firstLine="0"/>
    </w:pPr>
  </w:style>
  <w:style w:type="paragraph" w:styleId="ListNumber3">
    <w:name w:val="List Number 3"/>
    <w:basedOn w:val="List3"/>
    <w:rsid w:val="0018022C"/>
    <w:pPr>
      <w:numPr>
        <w:numId w:val="4"/>
      </w:numPr>
    </w:pPr>
  </w:style>
  <w:style w:type="paragraph" w:styleId="ListNumber4">
    <w:name w:val="List Number 4"/>
    <w:basedOn w:val="List4"/>
    <w:rsid w:val="0018022C"/>
    <w:pPr>
      <w:numPr>
        <w:numId w:val="5"/>
      </w:numPr>
    </w:pPr>
  </w:style>
  <w:style w:type="paragraph" w:styleId="ListNumber5">
    <w:name w:val="List Number 5"/>
    <w:basedOn w:val="List5"/>
    <w:rsid w:val="0018022C"/>
    <w:pPr>
      <w:numPr>
        <w:numId w:val="6"/>
      </w:numPr>
    </w:pPr>
  </w:style>
  <w:style w:type="paragraph" w:styleId="BlockText">
    <w:name w:val="Block Text"/>
    <w:basedOn w:val="Normal"/>
    <w:rsid w:val="001802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2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22C"/>
    <w:rPr>
      <w:sz w:val="16"/>
      <w:vertAlign w:val="superscript"/>
    </w:rPr>
  </w:style>
  <w:style w:type="character" w:customStyle="1" w:styleId="Symbols">
    <w:name w:val="Symbols"/>
    <w:basedOn w:val="DefaultParagraphFont"/>
    <w:rsid w:val="0018022C"/>
    <w:rPr>
      <w:rFonts w:ascii="Symbol" w:hAnsi="Symbol"/>
    </w:rPr>
  </w:style>
  <w:style w:type="character" w:customStyle="1" w:styleId="MenuOptions">
    <w:name w:val="Menu Options"/>
    <w:basedOn w:val="DefaultParagraphFont"/>
    <w:rsid w:val="001802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22C"/>
    <w:rPr>
      <w:b/>
    </w:rPr>
  </w:style>
  <w:style w:type="character" w:customStyle="1" w:styleId="Underlined">
    <w:name w:val="Underlined"/>
    <w:basedOn w:val="DefaultParagraphFont"/>
    <w:rsid w:val="0018022C"/>
    <w:rPr>
      <w:u w:val="single"/>
    </w:rPr>
  </w:style>
  <w:style w:type="paragraph" w:customStyle="1" w:styleId="TableBodyTextRight">
    <w:name w:val="Table Body Text Right"/>
    <w:basedOn w:val="TableBodyText"/>
    <w:rsid w:val="001802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22C"/>
    <w:rPr>
      <w:sz w:val="18"/>
    </w:rPr>
  </w:style>
  <w:style w:type="paragraph" w:customStyle="1" w:styleId="BodySmallRight">
    <w:name w:val="Body Small Right"/>
    <w:basedOn w:val="BodyTextRight"/>
    <w:rsid w:val="0018022C"/>
    <w:rPr>
      <w:sz w:val="18"/>
      <w:szCs w:val="18"/>
    </w:rPr>
  </w:style>
  <w:style w:type="paragraph" w:customStyle="1" w:styleId="MarginEdition">
    <w:name w:val="Margin Edition"/>
    <w:basedOn w:val="MarginNote"/>
    <w:rsid w:val="001802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22C"/>
    <w:rPr>
      <w:sz w:val="2"/>
      <w:szCs w:val="2"/>
    </w:rPr>
  </w:style>
  <w:style w:type="character" w:customStyle="1" w:styleId="Small">
    <w:name w:val="Small"/>
    <w:basedOn w:val="DefaultParagraphFont"/>
    <w:rsid w:val="0018022C"/>
    <w:rPr>
      <w:sz w:val="16"/>
    </w:rPr>
  </w:style>
  <w:style w:type="paragraph" w:customStyle="1" w:styleId="WideTable">
    <w:name w:val="Wide Table"/>
    <w:basedOn w:val="Normal"/>
    <w:rsid w:val="001802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22C"/>
  </w:style>
  <w:style w:type="paragraph" w:styleId="Quote">
    <w:name w:val="Quote"/>
    <w:basedOn w:val="Heading1"/>
    <w:link w:val="QuoteChar"/>
    <w:qFormat/>
    <w:rsid w:val="001802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2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22C"/>
    <w:pPr>
      <w:pageBreakBefore/>
    </w:pPr>
  </w:style>
  <w:style w:type="paragraph" w:customStyle="1" w:styleId="Border">
    <w:name w:val="Border"/>
    <w:basedOn w:val="Normal"/>
    <w:qFormat/>
    <w:rsid w:val="001802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2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2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2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2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2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2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2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2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22C"/>
    <w:rPr>
      <w:u w:val="single"/>
    </w:rPr>
  </w:style>
  <w:style w:type="character" w:customStyle="1" w:styleId="BoldandItalics">
    <w:name w:val="Bold and Italics"/>
    <w:qFormat/>
    <w:rsid w:val="0018022C"/>
    <w:rPr>
      <w:b/>
      <w:i/>
      <w:u w:val="none"/>
    </w:rPr>
  </w:style>
  <w:style w:type="paragraph" w:styleId="BalloonText">
    <w:name w:val="Balloon Text"/>
    <w:basedOn w:val="Normal"/>
    <w:link w:val="BalloonTextChar"/>
    <w:rsid w:val="001802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2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2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2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2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2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22C"/>
    <w:pPr>
      <w:spacing w:before="0" w:after="0"/>
    </w:pPr>
  </w:style>
  <w:style w:type="paragraph" w:customStyle="1" w:styleId="BodyTextBold">
    <w:name w:val="Body Text Bold"/>
    <w:basedOn w:val="BodyText"/>
    <w:qFormat/>
    <w:rsid w:val="0018022C"/>
    <w:rPr>
      <w:b/>
    </w:rPr>
  </w:style>
  <w:style w:type="character" w:styleId="Hyperlink">
    <w:name w:val="Hyperlink"/>
    <w:basedOn w:val="DefaultParagraphFont"/>
    <w:uiPriority w:val="99"/>
    <w:unhideWhenUsed/>
    <w:rsid w:val="00D018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6200</Characters>
  <Application>Microsoft Office Word</Application>
  <DocSecurity>0</DocSecurity>
  <Lines>248</Lines>
  <Paragraphs>134</Paragraphs>
  <ScaleCrop>false</ScaleCrop>
  <Company>Author-it Software Corporation Ltd.</Company>
  <LinksUpToDate>false</LinksUpToDate>
  <CharactersWithSpaces>6984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NWPNET056 Coordinate and monitor network asset construction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2025-03-01T21:33:00Z</dcterms:created>
  <dcterms:modified xsi:type="dcterms:W3CDTF">2025-03-01T21:33:00Z</dcterms:modified>
</cp:coreProperties>
</file>