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AD1" w:rsidP="00372A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NWPNET020 Control electrical risk on metallic pipes</w:t>
      </w:r>
      <w:r>
        <w:fldChar w:fldCharType="end"/>
      </w:r>
    </w:p>
    <w:p w:rsidR="00372AD1" w:rsidP="00372AD1">
      <w:pPr>
        <w:pStyle w:val="Version"/>
        <w:sectPr w:rsidSect="00A847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720" w:rsidP="00A84720">
      <w:pPr>
        <w:pStyle w:val="SuperHeading"/>
      </w:pPr>
      <w:r w:rsidRPr="00A84720">
        <w:t>NWPNET020 Control electrical risk on metallic pipes</w:t>
      </w:r>
    </w:p>
    <w:p w:rsidR="00000000" w:rsidRPr="00A84720" w:rsidP="00A84720">
      <w:pPr>
        <w:pStyle w:val="Heading1"/>
      </w:pPr>
      <w:bookmarkStart w:id="1" w:name="O_1061947"/>
      <w:bookmarkEnd w:id="1"/>
      <w:r w:rsidRPr="00A847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t>Release 1. This is the first release of this unit of competency in the NWP National Water Training Package.</w:t>
            </w:r>
          </w:p>
        </w:tc>
      </w:tr>
    </w:tbl>
    <w:p w:rsidR="00000000" w:rsidRPr="00A84720" w:rsidP="00A84720">
      <w:pPr>
        <w:pStyle w:val="NoPaddingFontSize1"/>
      </w:pPr>
    </w:p>
    <w:p w:rsidR="00000000" w:rsidRPr="00A84720" w:rsidP="00A84720">
      <w:pPr>
        <w:pStyle w:val="AllowPageBreak"/>
      </w:pPr>
    </w:p>
    <w:p w:rsidR="00000000" w:rsidRPr="00A84720" w:rsidP="00A84720">
      <w:pPr>
        <w:pStyle w:val="Heading1"/>
      </w:pPr>
      <w:bookmarkStart w:id="2" w:name="O_1061948"/>
      <w:bookmarkEnd w:id="2"/>
      <w:r w:rsidRPr="00A8472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t>This unit involves the skills and knowledge required to control electrical risk on me</w:t>
            </w:r>
            <w:r w:rsidRPr="00A84720">
              <w:t>tallic pipes.</w:t>
            </w:r>
          </w:p>
          <w:p w:rsidR="00000000" w:rsidRPr="00A84720" w:rsidP="00A84720">
            <w:pPr>
              <w:pStyle w:val="BodyText"/>
            </w:pPr>
            <w:r w:rsidRPr="00A84720">
              <w:t>It includes safely working on and assessing metallic pipes for electricity.  It also includes using electrical detection devices, identifying yourself to customers and identifying utility assets.</w:t>
            </w:r>
          </w:p>
          <w:p w:rsidR="00000000" w:rsidRPr="00A84720" w:rsidP="00A84720">
            <w:pPr>
              <w:pStyle w:val="BodyText"/>
            </w:pPr>
            <w:r w:rsidRPr="00A84720">
              <w:t>This unit applies to those working as field an</w:t>
            </w:r>
            <w:r w:rsidRPr="00A84720">
              <w:t>d operational staff with responsibility for the control measures of high-risk electrical hazards.  Those undertaking this unit would work independently under indirect supervision while performing routine tasks with a moderate level of complexity in a famil</w:t>
            </w:r>
            <w:r w:rsidRPr="00A84720">
              <w:t>iar context.</w:t>
            </w:r>
          </w:p>
          <w:p w:rsidR="00000000" w:rsidRPr="00A84720" w:rsidP="00A84720">
            <w:pPr>
              <w:pStyle w:val="BodyText"/>
            </w:pPr>
            <w:r w:rsidRPr="00A84720">
              <w:t>No licensing, legislative or certification requirements apply to this unit at the time of publication.</w:t>
            </w:r>
          </w:p>
        </w:tc>
      </w:tr>
    </w:tbl>
    <w:p w:rsidR="00000000" w:rsidRPr="00A84720" w:rsidP="00A84720">
      <w:pPr>
        <w:pStyle w:val="NoPaddingFontSize1"/>
      </w:pPr>
    </w:p>
    <w:p w:rsidR="00000000" w:rsidRPr="00A84720" w:rsidP="00A84720">
      <w:pPr>
        <w:pStyle w:val="AllowPageBreak"/>
      </w:pPr>
    </w:p>
    <w:p w:rsidR="00000000" w:rsidRPr="00A84720" w:rsidP="00A84720">
      <w:pPr>
        <w:pStyle w:val="Heading1"/>
      </w:pPr>
      <w:bookmarkStart w:id="3" w:name="O_1061949"/>
      <w:bookmarkEnd w:id="3"/>
      <w:r w:rsidRPr="00A8472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t>Not applicable.</w:t>
            </w:r>
          </w:p>
        </w:tc>
      </w:tr>
    </w:tbl>
    <w:p w:rsidR="00000000" w:rsidRPr="00A84720" w:rsidP="00A84720">
      <w:pPr>
        <w:pStyle w:val="NoPaddingFontSize1"/>
      </w:pPr>
    </w:p>
    <w:p w:rsidR="00000000" w:rsidRPr="00A84720" w:rsidP="00A84720">
      <w:pPr>
        <w:pStyle w:val="AllowPageBreak"/>
      </w:pPr>
    </w:p>
    <w:p w:rsidR="00000000" w:rsidRPr="00A84720" w:rsidP="00A84720">
      <w:pPr>
        <w:pStyle w:val="Heading1"/>
      </w:pPr>
      <w:bookmarkStart w:id="4" w:name="O_1061950"/>
      <w:bookmarkEnd w:id="4"/>
      <w:r w:rsidRPr="00A8472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t>Networks</w:t>
            </w:r>
          </w:p>
        </w:tc>
      </w:tr>
    </w:tbl>
    <w:p w:rsidR="00000000" w:rsidRPr="00A84720" w:rsidP="00A84720">
      <w:pPr>
        <w:pStyle w:val="NoPaddingFontSize1"/>
      </w:pPr>
    </w:p>
    <w:p w:rsidR="00000000" w:rsidRPr="00A84720" w:rsidP="00A84720">
      <w:pPr>
        <w:pStyle w:val="AllowPageBreak"/>
      </w:pPr>
    </w:p>
    <w:p w:rsidR="00000000" w:rsidRPr="00A84720" w:rsidP="00A84720">
      <w:pPr>
        <w:pStyle w:val="Heading1"/>
      </w:pPr>
      <w:bookmarkStart w:id="5" w:name="O_1061951"/>
      <w:bookmarkEnd w:id="5"/>
      <w:r w:rsidRPr="00A8472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t>Not applicable.</w:t>
            </w:r>
          </w:p>
        </w:tc>
      </w:tr>
    </w:tbl>
    <w:p w:rsidR="00000000" w:rsidRPr="00A84720" w:rsidP="00A84720">
      <w:pPr>
        <w:pStyle w:val="NoPaddingFontSize1"/>
      </w:pPr>
    </w:p>
    <w:p w:rsidR="00000000" w:rsidRPr="00A84720" w:rsidP="00A84720">
      <w:pPr>
        <w:pStyle w:val="AllowPageBreak"/>
      </w:pPr>
    </w:p>
    <w:p w:rsidR="00000000" w:rsidRPr="00A84720" w:rsidP="00A84720">
      <w:pPr>
        <w:pStyle w:val="Heading1"/>
      </w:pPr>
      <w:bookmarkStart w:id="6" w:name="O_1061952"/>
      <w:bookmarkEnd w:id="6"/>
      <w:r w:rsidRPr="00A8472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rPr>
                <w:rStyle w:val="SpecialBold"/>
              </w:rPr>
              <w:t>PERFORMANCE CRITERIA</w:t>
            </w:r>
          </w:p>
        </w:tc>
      </w:tr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t>Performance criteria describe the performance needed to demonstrate achievement of the element.</w:t>
            </w:r>
          </w:p>
        </w:tc>
      </w:tr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t>Identify and locate area of work from job specifications, plans and diagrams</w:t>
            </w:r>
          </w:p>
        </w:tc>
      </w:tr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t xml:space="preserve">Conduct risk assessment for environmental safety </w:t>
            </w:r>
            <w:r w:rsidRPr="00A84720">
              <w:t>according to workplace procedures</w:t>
            </w:r>
          </w:p>
        </w:tc>
      </w:tr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t>Select safety and electrical equipment and fit and use personal protective equipment according to workplace procedures</w:t>
            </w:r>
          </w:p>
        </w:tc>
      </w:tr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t>Identify yourself to your customers and determine customer needs</w:t>
            </w:r>
          </w:p>
        </w:tc>
      </w:tr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t>Identify utility assets or services by contacting relevant</w:t>
            </w:r>
            <w:r w:rsidRPr="00A84720">
              <w:t xml:space="preserve"> authorities </w:t>
            </w:r>
          </w:p>
        </w:tc>
      </w:tr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rPr>
                <w:rStyle w:val="SpecialBold"/>
              </w:rPr>
              <w:t>Assess metallic pipes for electricity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t>Use electrical testing device to check for presence of electricity on metallic water pipe according to workplace procedures</w:t>
            </w:r>
          </w:p>
        </w:tc>
      </w:tr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t>Follow organisational procedures when electricity is detected</w:t>
            </w:r>
          </w:p>
        </w:tc>
      </w:tr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t>Identify and clean attachment points and apply the testing and monitoring equipment and bridging conductors if no electricity is detected</w:t>
            </w:r>
          </w:p>
        </w:tc>
      </w:tr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t>Continue to enforce electrical control measures during pipe replacement</w:t>
            </w:r>
          </w:p>
        </w:tc>
      </w:tr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t>Store and secure equipment and materials according to manufacturer instructions</w:t>
            </w:r>
          </w:p>
        </w:tc>
      </w:tr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t>Restore worksite to meet environmental and organisational requirements</w:t>
            </w:r>
          </w:p>
        </w:tc>
      </w:tr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720">
            <w:pPr>
              <w:pStyle w:val="BodyText"/>
              <w:rPr>
                <w:lang w:val="en-NZ"/>
              </w:rPr>
            </w:pPr>
            <w:r w:rsidRPr="00A8472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t>Report and tag any damaged or faulty equipment according to workplace procedures</w:t>
            </w:r>
          </w:p>
        </w:tc>
      </w:tr>
    </w:tbl>
    <w:p w:rsidR="00000000" w:rsidRPr="00A84720" w:rsidP="00A84720">
      <w:pPr>
        <w:pStyle w:val="NoPaddingFontSize1"/>
      </w:pPr>
    </w:p>
    <w:p w:rsidR="00000000" w:rsidRPr="00A84720" w:rsidP="00A84720">
      <w:pPr>
        <w:pStyle w:val="AllowPageBreak"/>
      </w:pPr>
    </w:p>
    <w:p w:rsidR="00000000" w:rsidRPr="00A84720" w:rsidP="00A84720">
      <w:pPr>
        <w:pStyle w:val="Heading1"/>
      </w:pPr>
      <w:bookmarkStart w:id="7" w:name="O_1061953"/>
      <w:bookmarkEnd w:id="7"/>
      <w:r w:rsidRPr="00A8472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t>Foundation skills essential to performance are explicit in the performance criteria of this unit of competency.</w:t>
            </w:r>
          </w:p>
        </w:tc>
      </w:tr>
    </w:tbl>
    <w:p w:rsidR="00000000" w:rsidRPr="00A84720" w:rsidP="00A84720">
      <w:pPr>
        <w:pStyle w:val="NoPaddingFontSize1"/>
      </w:pPr>
    </w:p>
    <w:p w:rsidR="00000000" w:rsidRPr="00A84720" w:rsidP="00A84720">
      <w:pPr>
        <w:pStyle w:val="AllowPageBreak"/>
      </w:pPr>
    </w:p>
    <w:p w:rsidR="00000000" w:rsidRPr="00A84720" w:rsidP="00A84720">
      <w:pPr>
        <w:pStyle w:val="Heading1"/>
      </w:pPr>
      <w:bookmarkStart w:id="8" w:name="O_1061954"/>
      <w:bookmarkEnd w:id="8"/>
      <w:r w:rsidRPr="00A8472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t>Range is restricted to essential operating conditions and any other</w:t>
            </w:r>
            <w:r w:rsidRPr="00A84720">
              <w:t xml:space="preserve"> variables essential to the work environment.</w:t>
            </w:r>
          </w:p>
          <w:p w:rsidR="00000000" w:rsidRPr="00A84720" w:rsidP="00A84720">
            <w:pPr>
              <w:pStyle w:val="BodyText"/>
            </w:pPr>
            <w:r w:rsidRPr="00A84720">
              <w:t>Non-essential conditions may be found in the Companion Volume Implementation Guide.</w:t>
            </w:r>
          </w:p>
        </w:tc>
      </w:tr>
    </w:tbl>
    <w:p w:rsidR="00000000" w:rsidRPr="00A84720" w:rsidP="00A84720">
      <w:pPr>
        <w:pStyle w:val="NoPaddingFontSize1"/>
      </w:pPr>
    </w:p>
    <w:p w:rsidR="00000000" w:rsidRPr="00A84720" w:rsidP="00A84720">
      <w:pPr>
        <w:pStyle w:val="AllowPageBreak"/>
      </w:pPr>
    </w:p>
    <w:p w:rsidR="00000000" w:rsidRPr="00A84720" w:rsidP="00A84720">
      <w:pPr>
        <w:pStyle w:val="Heading1"/>
      </w:pPr>
      <w:bookmarkStart w:id="9" w:name="O_1061955"/>
      <w:bookmarkEnd w:id="9"/>
      <w:r w:rsidRPr="00A8472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47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720" w:rsidP="00A84720">
            <w:pPr>
              <w:pStyle w:val="BodyText"/>
            </w:pPr>
            <w:r w:rsidRPr="00A84720">
              <w:t xml:space="preserve">This unit replaces and </w:t>
            </w:r>
            <w:r w:rsidRPr="00A84720">
              <w:t>is equivalent to NWPNET003 Control electrical risk on metallic pipes.</w:t>
            </w:r>
          </w:p>
        </w:tc>
      </w:tr>
    </w:tbl>
    <w:p w:rsidR="00000000" w:rsidRPr="00A84720" w:rsidP="00A84720">
      <w:pPr>
        <w:pStyle w:val="NoPaddingFontSize1"/>
      </w:pPr>
    </w:p>
    <w:p w:rsidR="00000000" w:rsidRPr="00A84720" w:rsidP="00A84720">
      <w:pPr>
        <w:pStyle w:val="AllowPageBreak"/>
      </w:pPr>
    </w:p>
    <w:p w:rsidR="00000000" w:rsidRPr="00A84720" w:rsidP="00A84720">
      <w:pPr>
        <w:pStyle w:val="Heading1"/>
      </w:pPr>
      <w:bookmarkStart w:id="10" w:name="O_1061962"/>
      <w:bookmarkEnd w:id="10"/>
      <w:r w:rsidRPr="00A84720">
        <w:t>Links</w:t>
      </w:r>
    </w:p>
    <w:p w:rsidR="00000000" w:rsidRPr="00A84720" w:rsidP="00372AD1">
      <w:pPr>
        <w:pStyle w:val="BodyText"/>
      </w:pPr>
      <w:r w:rsidRPr="00A847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24C9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84720" w:rsidP="00372AD1">
      <w:pPr>
        <w:pStyle w:val="BodyText"/>
      </w:pPr>
      <w:r w:rsidRPr="00A84720">
        <w:t>Companion Vol</w:t>
      </w:r>
      <w:r w:rsidRPr="00A84720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24C9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84720" w:rsidP="00372AD1">
      <w:pPr>
        <w:pStyle w:val="BodyText"/>
      </w:pPr>
      <w:r w:rsidRPr="00A847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24C9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84720" w:rsidP="00A84720"/>
    <w:sectPr w:rsidSect="00A847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7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720" w:rsidRPr="00372AD1" w:rsidP="00372A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7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AD1" w:rsidP="00A847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2AD1" w:rsidP="00A847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72AD1" w:rsidP="00A847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7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A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720" w:rsidRPr="00372AD1" w:rsidP="00372A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7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AD1" w:rsidRPr="002D2AF8" w:rsidP="00A847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NWPNET020 Control electrical risk on metallic pipes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72AD1" w:rsidP="00A847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7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7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7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7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7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7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7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7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7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7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7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720"/>
  </w:style>
  <w:style w:type="character" w:customStyle="1" w:styleId="Heading1Char">
    <w:name w:val="Heading 1 Char"/>
    <w:basedOn w:val="DefaultParagraphFont"/>
    <w:link w:val="Heading1"/>
    <w:rsid w:val="00A847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7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7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4720"/>
    <w:rPr>
      <w:b/>
      <w:spacing w:val="0"/>
    </w:rPr>
  </w:style>
  <w:style w:type="paragraph" w:customStyle="1" w:styleId="SuperHeading">
    <w:name w:val="SuperHeading"/>
    <w:basedOn w:val="Normal"/>
    <w:rsid w:val="00A847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7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47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7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7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7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7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7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7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7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7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7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7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7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7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7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7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7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7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47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47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7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7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7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7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7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7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7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7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7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7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7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7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7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4720"/>
    <w:rPr>
      <w:i/>
    </w:rPr>
  </w:style>
  <w:style w:type="paragraph" w:styleId="Caption">
    <w:name w:val="caption"/>
    <w:basedOn w:val="BodyText"/>
    <w:next w:val="Normal"/>
    <w:qFormat/>
    <w:rsid w:val="00A847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7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7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720"/>
  </w:style>
  <w:style w:type="paragraph" w:styleId="TableofFigures">
    <w:name w:val="table of figures"/>
    <w:basedOn w:val="Normal"/>
    <w:next w:val="Normal"/>
    <w:semiHidden/>
    <w:rsid w:val="00A847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7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4720"/>
    <w:rPr>
      <w:rFonts w:ascii="Wingdings" w:hAnsi="Wingdings"/>
    </w:rPr>
  </w:style>
  <w:style w:type="paragraph" w:customStyle="1" w:styleId="TableHeading">
    <w:name w:val="Table Heading"/>
    <w:basedOn w:val="HeadingBase"/>
    <w:rsid w:val="00A847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720"/>
    <w:rPr>
      <w:color w:val="0033CC"/>
      <w:u w:val="none"/>
    </w:rPr>
  </w:style>
  <w:style w:type="paragraph" w:customStyle="1" w:styleId="BodyTextRight">
    <w:name w:val="Body Text Right"/>
    <w:basedOn w:val="BodyText"/>
    <w:rsid w:val="00A847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7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7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7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7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7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720"/>
    <w:rPr>
      <w:sz w:val="32"/>
    </w:rPr>
  </w:style>
  <w:style w:type="paragraph" w:customStyle="1" w:styleId="HeadingProcedure">
    <w:name w:val="Heading Procedure"/>
    <w:basedOn w:val="HeadingBase"/>
    <w:next w:val="Normal"/>
    <w:rsid w:val="00A847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720"/>
    <w:pPr>
      <w:spacing w:before="60" w:after="60"/>
    </w:pPr>
  </w:style>
  <w:style w:type="paragraph" w:styleId="ListContinue">
    <w:name w:val="List Continue"/>
    <w:basedOn w:val="List"/>
    <w:rsid w:val="00A84720"/>
    <w:pPr>
      <w:ind w:firstLine="0"/>
    </w:pPr>
  </w:style>
  <w:style w:type="paragraph" w:customStyle="1" w:styleId="ListNote">
    <w:name w:val="List Note"/>
    <w:basedOn w:val="List"/>
    <w:rsid w:val="00A847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7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7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720"/>
    <w:rPr>
      <w:rFonts w:ascii="Courier New" w:hAnsi="Courier New"/>
    </w:rPr>
  </w:style>
  <w:style w:type="paragraph" w:customStyle="1" w:styleId="NoteBullet">
    <w:name w:val="Note Bullet"/>
    <w:basedOn w:val="Note"/>
    <w:rsid w:val="00A847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7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7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7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7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47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7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720"/>
    <w:rPr>
      <w:b/>
      <w:smallCaps/>
    </w:rPr>
  </w:style>
  <w:style w:type="paragraph" w:customStyle="1" w:styleId="TableListNumber">
    <w:name w:val="Table List Number"/>
    <w:basedOn w:val="ListNumber"/>
    <w:rsid w:val="00A847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7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720"/>
    <w:pPr>
      <w:numPr>
        <w:numId w:val="7"/>
      </w:numPr>
    </w:pPr>
  </w:style>
  <w:style w:type="paragraph" w:customStyle="1" w:styleId="ListAlpha2">
    <w:name w:val="List Alpha 2"/>
    <w:basedOn w:val="List2"/>
    <w:rsid w:val="00A84720"/>
    <w:pPr>
      <w:numPr>
        <w:numId w:val="6"/>
      </w:numPr>
    </w:pPr>
  </w:style>
  <w:style w:type="paragraph" w:styleId="List2">
    <w:name w:val="List 2"/>
    <w:basedOn w:val="BodyText"/>
    <w:rsid w:val="00A847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7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7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7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7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7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4720"/>
    <w:pPr>
      <w:numPr>
        <w:numId w:val="2"/>
      </w:numPr>
    </w:pPr>
  </w:style>
  <w:style w:type="paragraph" w:styleId="ListContinue2">
    <w:name w:val="List Continue 2"/>
    <w:basedOn w:val="List2"/>
    <w:rsid w:val="00A84720"/>
    <w:pPr>
      <w:ind w:firstLine="0"/>
    </w:pPr>
  </w:style>
  <w:style w:type="paragraph" w:styleId="ListContinue3">
    <w:name w:val="List Continue 3"/>
    <w:basedOn w:val="List3"/>
    <w:rsid w:val="00A84720"/>
    <w:pPr>
      <w:ind w:left="1021" w:firstLine="0"/>
    </w:pPr>
  </w:style>
  <w:style w:type="paragraph" w:styleId="ListContinue4">
    <w:name w:val="List Continue 4"/>
    <w:basedOn w:val="List4"/>
    <w:rsid w:val="00A84720"/>
    <w:pPr>
      <w:ind w:firstLine="0"/>
    </w:pPr>
  </w:style>
  <w:style w:type="paragraph" w:styleId="ListContinue5">
    <w:name w:val="List Continue 5"/>
    <w:basedOn w:val="List5"/>
    <w:rsid w:val="00A84720"/>
    <w:pPr>
      <w:ind w:firstLine="0"/>
    </w:pPr>
  </w:style>
  <w:style w:type="paragraph" w:styleId="ListNumber3">
    <w:name w:val="List Number 3"/>
    <w:basedOn w:val="List3"/>
    <w:rsid w:val="00A84720"/>
    <w:pPr>
      <w:numPr>
        <w:numId w:val="3"/>
      </w:numPr>
    </w:pPr>
  </w:style>
  <w:style w:type="paragraph" w:styleId="ListNumber4">
    <w:name w:val="List Number 4"/>
    <w:basedOn w:val="List4"/>
    <w:rsid w:val="00A84720"/>
    <w:pPr>
      <w:numPr>
        <w:numId w:val="4"/>
      </w:numPr>
    </w:pPr>
  </w:style>
  <w:style w:type="paragraph" w:styleId="ListNumber5">
    <w:name w:val="List Number 5"/>
    <w:basedOn w:val="List5"/>
    <w:rsid w:val="00A84720"/>
    <w:pPr>
      <w:numPr>
        <w:numId w:val="5"/>
      </w:numPr>
    </w:pPr>
  </w:style>
  <w:style w:type="paragraph" w:styleId="BlockText">
    <w:name w:val="Block Text"/>
    <w:basedOn w:val="Normal"/>
    <w:rsid w:val="00A847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7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720"/>
    <w:rPr>
      <w:sz w:val="16"/>
      <w:vertAlign w:val="superscript"/>
    </w:rPr>
  </w:style>
  <w:style w:type="character" w:customStyle="1" w:styleId="Symbols">
    <w:name w:val="Symbols"/>
    <w:basedOn w:val="DefaultParagraphFont"/>
    <w:rsid w:val="00A84720"/>
    <w:rPr>
      <w:rFonts w:ascii="Symbol" w:hAnsi="Symbol"/>
    </w:rPr>
  </w:style>
  <w:style w:type="character" w:customStyle="1" w:styleId="MenuOptions">
    <w:name w:val="Menu Options"/>
    <w:basedOn w:val="DefaultParagraphFont"/>
    <w:rsid w:val="00A847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720"/>
    <w:rPr>
      <w:b/>
    </w:rPr>
  </w:style>
  <w:style w:type="character" w:customStyle="1" w:styleId="Underlined">
    <w:name w:val="Underlined"/>
    <w:basedOn w:val="DefaultParagraphFont"/>
    <w:rsid w:val="00A84720"/>
    <w:rPr>
      <w:u w:val="single"/>
    </w:rPr>
  </w:style>
  <w:style w:type="paragraph" w:customStyle="1" w:styleId="TableBodyTextRight">
    <w:name w:val="Table Body Text Right"/>
    <w:basedOn w:val="TableBodyText"/>
    <w:rsid w:val="00A847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720"/>
    <w:rPr>
      <w:sz w:val="18"/>
    </w:rPr>
  </w:style>
  <w:style w:type="paragraph" w:customStyle="1" w:styleId="BodySmallRight">
    <w:name w:val="Body Small Right"/>
    <w:basedOn w:val="BodyTextRight"/>
    <w:rsid w:val="00A84720"/>
    <w:rPr>
      <w:sz w:val="18"/>
      <w:szCs w:val="18"/>
    </w:rPr>
  </w:style>
  <w:style w:type="paragraph" w:customStyle="1" w:styleId="MarginEdition">
    <w:name w:val="Margin Edition"/>
    <w:basedOn w:val="MarginNote"/>
    <w:rsid w:val="00A847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720"/>
    <w:rPr>
      <w:sz w:val="2"/>
      <w:szCs w:val="2"/>
    </w:rPr>
  </w:style>
  <w:style w:type="character" w:customStyle="1" w:styleId="Small">
    <w:name w:val="Small"/>
    <w:basedOn w:val="DefaultParagraphFont"/>
    <w:rsid w:val="00A84720"/>
    <w:rPr>
      <w:sz w:val="16"/>
    </w:rPr>
  </w:style>
  <w:style w:type="paragraph" w:customStyle="1" w:styleId="WideTable">
    <w:name w:val="Wide Table"/>
    <w:basedOn w:val="Normal"/>
    <w:rsid w:val="00A847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720"/>
  </w:style>
  <w:style w:type="paragraph" w:styleId="Quote">
    <w:name w:val="Quote"/>
    <w:basedOn w:val="Heading1"/>
    <w:link w:val="QuoteChar"/>
    <w:qFormat/>
    <w:rsid w:val="00A847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7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720"/>
    <w:pPr>
      <w:pageBreakBefore/>
    </w:pPr>
  </w:style>
  <w:style w:type="paragraph" w:customStyle="1" w:styleId="Border">
    <w:name w:val="Border"/>
    <w:basedOn w:val="Normal"/>
    <w:qFormat/>
    <w:rsid w:val="00A847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7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7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7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7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7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7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7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7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720"/>
    <w:rPr>
      <w:u w:val="single"/>
    </w:rPr>
  </w:style>
  <w:style w:type="character" w:customStyle="1" w:styleId="BoldandItalics">
    <w:name w:val="Bold and Italics"/>
    <w:qFormat/>
    <w:rsid w:val="00A84720"/>
    <w:rPr>
      <w:b/>
      <w:i/>
      <w:u w:val="none"/>
    </w:rPr>
  </w:style>
  <w:style w:type="paragraph" w:styleId="BalloonText">
    <w:name w:val="Balloon Text"/>
    <w:basedOn w:val="Normal"/>
    <w:link w:val="BalloonTextChar"/>
    <w:rsid w:val="00A847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7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7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7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7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7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720"/>
    <w:pPr>
      <w:spacing w:before="0" w:after="0"/>
    </w:pPr>
  </w:style>
  <w:style w:type="paragraph" w:customStyle="1" w:styleId="BodyTextBold">
    <w:name w:val="Body Text Bold"/>
    <w:basedOn w:val="BodyText"/>
    <w:qFormat/>
    <w:rsid w:val="00A84720"/>
    <w:rPr>
      <w:b/>
    </w:rPr>
  </w:style>
  <w:style w:type="character" w:styleId="Hyperlink">
    <w:name w:val="Hyperlink"/>
    <w:basedOn w:val="DefaultParagraphFont"/>
    <w:uiPriority w:val="99"/>
    <w:unhideWhenUsed/>
    <w:rsid w:val="00372A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3277</Characters>
  <Application>Microsoft Office Word</Application>
  <DocSecurity>0</DocSecurity>
  <Lines>148</Lines>
  <Paragraphs>80</Paragraphs>
  <ScaleCrop>false</ScaleCrop>
  <Company>Author-it Software Corporation Ltd.</Company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NWPNET020 Control electrical risk on metallic pipes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