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A95" w:rsidP="00406A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NWPNET002 Prepare and restore work site</w:t>
      </w:r>
      <w:r>
        <w:fldChar w:fldCharType="end"/>
      </w:r>
    </w:p>
    <w:p w:rsidR="00406A95" w:rsidP="00406A95">
      <w:pPr>
        <w:pStyle w:val="Version"/>
        <w:sectPr w:rsidSect="005F0C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C0A" w:rsidP="005F0C0A">
      <w:pPr>
        <w:pStyle w:val="SuperHeading"/>
      </w:pPr>
      <w:r w:rsidRPr="005F0C0A">
        <w:t>NWPNET002 Prepare and restore work site</w:t>
      </w:r>
    </w:p>
    <w:p w:rsidR="00000000" w:rsidRPr="005F0C0A" w:rsidP="005F0C0A">
      <w:pPr>
        <w:pStyle w:val="Heading1"/>
      </w:pPr>
      <w:bookmarkStart w:id="1" w:name="O_759912"/>
      <w:bookmarkEnd w:id="1"/>
      <w:r w:rsidRPr="005F0C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0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0A">
            <w:pPr>
              <w:pStyle w:val="TableHeading"/>
              <w:rPr>
                <w:lang w:val="en-NZ"/>
              </w:rPr>
            </w:pPr>
            <w:r w:rsidRPr="005F0C0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0A">
            <w:pPr>
              <w:pStyle w:val="TableHeading"/>
              <w:rPr>
                <w:lang w:val="en-NZ"/>
              </w:rPr>
            </w:pPr>
            <w:r w:rsidRPr="005F0C0A">
              <w:t>Comments</w:t>
            </w:r>
          </w:p>
        </w:tc>
      </w:tr>
      <w:tr w:rsidTr="0040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0A">
            <w:pPr>
              <w:pStyle w:val="BodyText"/>
              <w:rPr>
                <w:lang w:val="en-NZ"/>
              </w:rPr>
            </w:pPr>
            <w:r w:rsidRPr="005F0C0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C0A" w:rsidP="005F0C0A">
            <w:pPr>
              <w:pStyle w:val="BodyText"/>
            </w:pPr>
            <w:r w:rsidRPr="005F0C0A">
              <w:t xml:space="preserve">This unit was released in NWP Water Training Package release 1.0 and meets the Standards for Training Packages. </w:t>
            </w:r>
          </w:p>
          <w:p w:rsidR="00000000" w:rsidRPr="005F0C0A" w:rsidP="005F0C0A">
            <w:pPr>
              <w:pStyle w:val="BodyText"/>
            </w:pPr>
          </w:p>
          <w:p w:rsidR="00000000" w:rsidRPr="005F0C0A" w:rsidP="005F0C0A">
            <w:pPr>
              <w:pStyle w:val="BodyText"/>
            </w:pPr>
            <w:r w:rsidRPr="005F0C0A">
              <w:t>This unit supersedes and is equivalent to NWP226B Prepare and restore work site.</w:t>
            </w:r>
          </w:p>
          <w:p w:rsidR="00000000" w:rsidRPr="005F0C0A" w:rsidP="005F0C0A">
            <w:pPr>
              <w:pStyle w:val="BodyText"/>
            </w:pPr>
          </w:p>
          <w:p w:rsidR="00000000" w:rsidRPr="005F0C0A" w:rsidP="005F0C0A">
            <w:pPr>
              <w:pStyle w:val="ListBullet"/>
            </w:pPr>
            <w:r w:rsidRPr="005F0C0A">
              <w:t>Unit code updated</w:t>
            </w:r>
          </w:p>
          <w:p w:rsidR="00000000" w:rsidRPr="005F0C0A" w:rsidP="005F0C0A">
            <w:pPr>
              <w:pStyle w:val="ListBullet"/>
            </w:pPr>
            <w:r w:rsidRPr="005F0C0A">
              <w:t>Content and formatting updated to comply with the new standards</w:t>
            </w:r>
          </w:p>
          <w:p w:rsidR="00000000" w:rsidRPr="005F0C0A" w:rsidP="005F0C0A">
            <w:pPr>
              <w:pStyle w:val="ListBullet"/>
            </w:pPr>
            <w:r w:rsidRPr="005F0C0A">
              <w:t>All PC transitioned from passive to active voice</w:t>
            </w:r>
          </w:p>
          <w:p w:rsidR="00000000" w:rsidRPr="005F0C0A" w:rsidP="005F0C0A">
            <w:pPr>
              <w:pStyle w:val="ListBullet"/>
            </w:pPr>
            <w:r w:rsidRPr="005F0C0A">
              <w:t>PC 3.1 removed</w:t>
            </w:r>
          </w:p>
          <w:p w:rsidR="00000000" w:rsidRPr="005F0C0A" w:rsidP="005F0C0A">
            <w:pPr>
              <w:pStyle w:val="ListBullet"/>
            </w:pPr>
            <w:r w:rsidRPr="005F0C0A">
              <w:t>PC 2.3 and 2.4 merged</w:t>
            </w:r>
          </w:p>
        </w:tc>
      </w:tr>
    </w:tbl>
    <w:p w:rsidR="00000000" w:rsidRPr="005F0C0A" w:rsidP="005F0C0A">
      <w:pPr>
        <w:pStyle w:val="BodyText"/>
      </w:pPr>
    </w:p>
    <w:p w:rsidR="00000000" w:rsidRPr="005F0C0A" w:rsidP="005F0C0A">
      <w:pPr>
        <w:pStyle w:val="AllowPageBreak"/>
      </w:pPr>
    </w:p>
    <w:p w:rsidR="00000000" w:rsidRPr="005F0C0A" w:rsidP="005F0C0A">
      <w:pPr>
        <w:pStyle w:val="Heading1"/>
      </w:pPr>
      <w:bookmarkStart w:id="2" w:name="O_759913"/>
      <w:bookmarkEnd w:id="2"/>
      <w:r w:rsidRPr="005F0C0A">
        <w:t>Application</w:t>
      </w:r>
    </w:p>
    <w:p w:rsidR="00000000" w:rsidRPr="005F0C0A" w:rsidP="00406A95">
      <w:pPr>
        <w:pStyle w:val="BodyText"/>
      </w:pPr>
      <w:r w:rsidRPr="005F0C0A">
        <w:t>This unit describes the skills required to prepare work sites. The ability to follow work instructions, use a range of equipment and tools to prepare a safe work site and subsequently to restore the site to the required condition is essential to satisfacto</w:t>
      </w:r>
      <w:r w:rsidRPr="005F0C0A">
        <w:t>ry performance.</w:t>
      </w:r>
    </w:p>
    <w:p w:rsidR="00000000" w:rsidRPr="005F0C0A" w:rsidP="00406A95">
      <w:pPr>
        <w:pStyle w:val="BodyText"/>
      </w:pPr>
      <w:r w:rsidRPr="005F0C0A">
        <w:t>This unit applies to those working as field and operational staff performing a wide range of functions that support construction, maintenance and operations processes.</w:t>
      </w:r>
    </w:p>
    <w:p w:rsidR="00000000" w:rsidRPr="005F0C0A" w:rsidP="00406A95">
      <w:pPr>
        <w:pStyle w:val="BodyText"/>
      </w:pPr>
      <w:r w:rsidRPr="005F0C0A">
        <w:t>The skills and knowledge described in this unit must be applied within</w:t>
      </w:r>
      <w:r w:rsidRPr="005F0C0A">
        <w:t xml:space="preserve"> the legislative, regulatory and policy environment in which they are carried out. Organisational policies and procedures must be consulted and adhered to, particularly those related to WHS and manufacturer specifications.</w:t>
      </w:r>
    </w:p>
    <w:p w:rsidR="00000000" w:rsidRPr="005F0C0A" w:rsidP="00406A95">
      <w:pPr>
        <w:pStyle w:val="BodyText"/>
      </w:pPr>
      <w:r w:rsidRPr="005F0C0A">
        <w:t>Those undertaking this unit woul</w:t>
      </w:r>
      <w:r w:rsidRPr="005F0C0A">
        <w:t>d work under supervision, performing routine tasks, in mostly familiar contexts.</w:t>
      </w:r>
    </w:p>
    <w:p w:rsidR="00000000" w:rsidRPr="005F0C0A" w:rsidP="00406A95">
      <w:pPr>
        <w:pStyle w:val="BodyText"/>
      </w:pPr>
      <w:r w:rsidRPr="005F0C0A">
        <w:t>No licensing, legislative or certification requirements apply to unit at the time of publication.</w:t>
      </w:r>
    </w:p>
    <w:p w:rsidR="00000000" w:rsidRPr="005F0C0A" w:rsidP="005F0C0A">
      <w:pPr>
        <w:pStyle w:val="Heading1"/>
      </w:pPr>
      <w:bookmarkStart w:id="3" w:name="O_759915"/>
      <w:bookmarkEnd w:id="3"/>
      <w:r w:rsidRPr="005F0C0A">
        <w:t>Competency Field</w:t>
      </w:r>
    </w:p>
    <w:p w:rsidR="00000000" w:rsidRPr="005F0C0A" w:rsidP="00406A95">
      <w:pPr>
        <w:pStyle w:val="BodyText"/>
      </w:pPr>
      <w:r w:rsidRPr="005F0C0A">
        <w:t>Networks</w:t>
      </w:r>
    </w:p>
    <w:p w:rsidR="00000000" w:rsidRPr="005F0C0A" w:rsidP="005F0C0A">
      <w:pPr>
        <w:pStyle w:val="Heading1"/>
      </w:pPr>
      <w:bookmarkStart w:id="4" w:name="O_759917"/>
      <w:bookmarkEnd w:id="4"/>
      <w:r w:rsidRPr="005F0C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5F0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0A">
            <w:pPr>
              <w:pStyle w:val="TableHeading"/>
              <w:rPr>
                <w:lang w:val="en-NZ"/>
              </w:rPr>
            </w:pPr>
            <w:r w:rsidRPr="005F0C0A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0A">
            <w:pPr>
              <w:pStyle w:val="TableHeading"/>
              <w:rPr>
                <w:lang w:val="en-NZ"/>
              </w:rPr>
            </w:pPr>
            <w:r w:rsidRPr="005F0C0A">
              <w:t>PERFORMANCE CRITERIA</w:t>
            </w:r>
          </w:p>
        </w:tc>
      </w:tr>
      <w:tr w:rsidTr="005F0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0A">
            <w:pPr>
              <w:pStyle w:val="BodyText"/>
              <w:rPr>
                <w:lang w:val="en-NZ"/>
              </w:rPr>
            </w:pPr>
            <w:r w:rsidRPr="005F0C0A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0A">
            <w:pPr>
              <w:pStyle w:val="BodyText"/>
              <w:rPr>
                <w:lang w:val="en-NZ"/>
              </w:rPr>
            </w:pPr>
            <w:r w:rsidRPr="005F0C0A">
              <w:t>Performance criteria describe the performance needed to demonstrate achievement of the element. Where bold italicised text is used, further informatio</w:t>
            </w:r>
            <w:r w:rsidRPr="005F0C0A">
              <w:t>n is detailed in the range of conditions section.</w:t>
            </w:r>
          </w:p>
        </w:tc>
      </w:tr>
      <w:tr w:rsidTr="005F0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0A">
            <w:pPr>
              <w:pStyle w:val="List"/>
              <w:rPr>
                <w:lang w:val="en-NZ"/>
              </w:rPr>
            </w:pPr>
            <w:r w:rsidRPr="005F0C0A">
              <w:rPr>
                <w:rStyle w:val="SpecialBold"/>
              </w:rPr>
              <w:t>1.</w:t>
            </w:r>
            <w:r w:rsidRPr="005F0C0A">
              <w:rPr>
                <w:rStyle w:val="SpecialBold"/>
              </w:rPr>
              <w:tab/>
              <w:t>Plan and prepare for work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C0A" w:rsidP="005F0C0A">
            <w:pPr>
              <w:pStyle w:val="List"/>
            </w:pPr>
            <w:r w:rsidRPr="005F0C0A">
              <w:t>1.1</w:t>
            </w:r>
            <w:r w:rsidRPr="005F0C0A">
              <w:tab/>
              <w:t>Determine site preparation requirements from specifications, instructions and pre-work inspections.</w:t>
            </w:r>
          </w:p>
          <w:p w:rsidR="00000000" w:rsidRPr="005F0C0A" w:rsidP="005F0C0A">
            <w:pPr>
              <w:pStyle w:val="List"/>
            </w:pPr>
            <w:r w:rsidRPr="005F0C0A">
              <w:t>1.2</w:t>
            </w:r>
            <w:r w:rsidRPr="005F0C0A">
              <w:tab/>
              <w:t xml:space="preserve">Identify and report potential hazards to public and environment and </w:t>
            </w:r>
            <w:r w:rsidRPr="005F0C0A">
              <w:t>assess risks.</w:t>
            </w:r>
          </w:p>
          <w:p w:rsidR="00000000" w:rsidRPr="005F0C0A" w:rsidP="005F0C0A">
            <w:pPr>
              <w:pStyle w:val="List"/>
            </w:pPr>
            <w:r w:rsidRPr="005F0C0A">
              <w:t>1.3</w:t>
            </w:r>
            <w:r w:rsidRPr="005F0C0A">
              <w:tab/>
              <w:t>Perform a site check according to legislative and organisational requirements to identify risks and prevent damage to other utilities.</w:t>
            </w:r>
          </w:p>
          <w:p w:rsidR="00000000" w:rsidRPr="005F0C0A" w:rsidP="005F0C0A">
            <w:pPr>
              <w:pStyle w:val="List"/>
            </w:pPr>
            <w:r w:rsidRPr="005F0C0A">
              <w:t>1.4</w:t>
            </w:r>
            <w:r w:rsidRPr="005F0C0A">
              <w:tab/>
              <w:t>Select and check work site equipment, tools and materials as appropriate to meet task and safety sp</w:t>
            </w:r>
            <w:r w:rsidRPr="005F0C0A">
              <w:t>ecifications.</w:t>
            </w:r>
          </w:p>
          <w:p w:rsidR="00000000" w:rsidP="005F0C0A">
            <w:pPr>
              <w:pStyle w:val="List"/>
              <w:rPr>
                <w:lang w:val="en-NZ"/>
              </w:rPr>
            </w:pPr>
            <w:r w:rsidRPr="005F0C0A">
              <w:t>1.5</w:t>
            </w:r>
            <w:r w:rsidRPr="005F0C0A">
              <w:tab/>
              <w:t>Select, fit and use personal protective equipment.</w:t>
            </w:r>
            <w:r w:rsidRPr="005F0C0A">
              <w:tab/>
            </w:r>
          </w:p>
        </w:tc>
      </w:tr>
      <w:tr w:rsidTr="005F0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0A">
            <w:pPr>
              <w:pStyle w:val="List"/>
              <w:rPr>
                <w:lang w:val="en-NZ"/>
              </w:rPr>
            </w:pPr>
            <w:r w:rsidRPr="005F0C0A">
              <w:rPr>
                <w:rStyle w:val="SpecialBold"/>
              </w:rPr>
              <w:t>2.</w:t>
            </w:r>
            <w:r w:rsidRPr="005F0C0A">
              <w:rPr>
                <w:rStyle w:val="SpecialBold"/>
              </w:rPr>
              <w:tab/>
              <w:t>Prepare work site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C0A" w:rsidP="005F0C0A">
            <w:pPr>
              <w:pStyle w:val="List"/>
            </w:pPr>
            <w:r w:rsidRPr="005F0C0A">
              <w:t>2.1</w:t>
            </w:r>
            <w:r w:rsidRPr="005F0C0A">
              <w:tab/>
              <w:t>Position safety equipment and materials to prevent potential risks to public and environment.</w:t>
            </w:r>
          </w:p>
          <w:p w:rsidR="00000000" w:rsidRPr="005F0C0A" w:rsidP="005F0C0A">
            <w:pPr>
              <w:pStyle w:val="List"/>
            </w:pPr>
            <w:r w:rsidRPr="005F0C0A">
              <w:t>2.2</w:t>
            </w:r>
            <w:r w:rsidRPr="005F0C0A">
              <w:tab/>
              <w:t>Store and secure equipment and materials.</w:t>
            </w:r>
          </w:p>
          <w:p w:rsidR="00000000" w:rsidRPr="005F0C0A" w:rsidP="005F0C0A">
            <w:pPr>
              <w:pStyle w:val="List"/>
            </w:pPr>
            <w:r w:rsidRPr="005F0C0A">
              <w:t>2.3</w:t>
            </w:r>
            <w:r w:rsidRPr="005F0C0A">
              <w:tab/>
            </w:r>
            <w:r w:rsidRPr="005F0C0A">
              <w:t>Use work site equipment, manual or mechanical excavation equipment, tools and materials.</w:t>
            </w:r>
          </w:p>
          <w:p w:rsidR="00000000" w:rsidP="005F0C0A">
            <w:pPr>
              <w:pStyle w:val="List"/>
              <w:rPr>
                <w:lang w:val="en-NZ"/>
              </w:rPr>
            </w:pPr>
            <w:r w:rsidRPr="005F0C0A">
              <w:t>2.4</w:t>
            </w:r>
            <w:r w:rsidRPr="005F0C0A">
              <w:tab/>
              <w:t>Provide appropriate drainage and diversion of site inflows from work site without damage to environment.</w:t>
            </w:r>
          </w:p>
        </w:tc>
      </w:tr>
      <w:tr w:rsidTr="005F0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0A">
            <w:pPr>
              <w:pStyle w:val="List"/>
              <w:rPr>
                <w:lang w:val="en-NZ"/>
              </w:rPr>
            </w:pPr>
            <w:r w:rsidRPr="005F0C0A">
              <w:rPr>
                <w:rStyle w:val="SpecialBold"/>
              </w:rPr>
              <w:t>3.</w:t>
            </w:r>
            <w:r w:rsidRPr="005F0C0A">
              <w:rPr>
                <w:rStyle w:val="SpecialBold"/>
              </w:rPr>
              <w:tab/>
              <w:t>Restore work site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C0A" w:rsidP="005F0C0A">
            <w:pPr>
              <w:pStyle w:val="List"/>
            </w:pPr>
            <w:r w:rsidRPr="005F0C0A">
              <w:t>3.1</w:t>
            </w:r>
            <w:r w:rsidRPr="005F0C0A">
              <w:tab/>
              <w:t>Backfill and compact excavations</w:t>
            </w:r>
            <w:r w:rsidRPr="005F0C0A">
              <w:t xml:space="preserve"> according to specifications.</w:t>
            </w:r>
          </w:p>
          <w:p w:rsidR="00000000" w:rsidRPr="005F0C0A" w:rsidP="005F0C0A">
            <w:pPr>
              <w:pStyle w:val="List"/>
            </w:pPr>
            <w:r w:rsidRPr="005F0C0A">
              <w:t>3.2</w:t>
            </w:r>
            <w:r w:rsidRPr="005F0C0A">
              <w:tab/>
              <w:t>Remove excess soil, debris and unwanted materials from site.</w:t>
            </w:r>
          </w:p>
          <w:p w:rsidR="00000000" w:rsidP="005F0C0A">
            <w:pPr>
              <w:pStyle w:val="List"/>
              <w:rPr>
                <w:lang w:val="en-NZ"/>
              </w:rPr>
            </w:pPr>
            <w:r w:rsidRPr="005F0C0A">
              <w:t>3.3</w:t>
            </w:r>
            <w:r w:rsidRPr="005F0C0A">
              <w:tab/>
              <w:t>Restore work site to meet environmental and organisational requirements using equipment, tools and materials.</w:t>
            </w:r>
          </w:p>
        </w:tc>
      </w:tr>
      <w:tr w:rsidTr="005F0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0A">
            <w:pPr>
              <w:pStyle w:val="List"/>
              <w:rPr>
                <w:lang w:val="en-NZ"/>
              </w:rPr>
            </w:pPr>
            <w:r w:rsidRPr="005F0C0A">
              <w:rPr>
                <w:rStyle w:val="SpecialBold"/>
              </w:rPr>
              <w:t>4.</w:t>
            </w:r>
            <w:r w:rsidRPr="005F0C0A">
              <w:rPr>
                <w:rStyle w:val="SpecialBold"/>
              </w:rPr>
              <w:tab/>
              <w:t>Review, record and report activities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C0A" w:rsidP="005F0C0A">
            <w:pPr>
              <w:pStyle w:val="List"/>
            </w:pPr>
            <w:r w:rsidRPr="005F0C0A">
              <w:t>4.1</w:t>
            </w:r>
            <w:r w:rsidRPr="005F0C0A">
              <w:tab/>
              <w:t>Ch</w:t>
            </w:r>
            <w:r w:rsidRPr="005F0C0A">
              <w:t>eck, maintain and store equipment, tools and materials.</w:t>
            </w:r>
          </w:p>
          <w:p w:rsidR="00000000" w:rsidRPr="005F0C0A" w:rsidP="005F0C0A">
            <w:pPr>
              <w:pStyle w:val="List"/>
            </w:pPr>
            <w:r w:rsidRPr="005F0C0A">
              <w:t>4.2</w:t>
            </w:r>
            <w:r w:rsidRPr="005F0C0A">
              <w:tab/>
              <w:t>Maintain workplace records.</w:t>
            </w:r>
          </w:p>
        </w:tc>
      </w:tr>
    </w:tbl>
    <w:p w:rsidR="00000000" w:rsidRPr="005F0C0A" w:rsidP="005F0C0A">
      <w:pPr>
        <w:pStyle w:val="BodyText"/>
      </w:pPr>
    </w:p>
    <w:p w:rsidR="00000000" w:rsidRPr="005F0C0A" w:rsidP="005F0C0A">
      <w:pPr>
        <w:pStyle w:val="AllowPageBreak"/>
      </w:pPr>
    </w:p>
    <w:p w:rsidR="00000000" w:rsidRPr="005F0C0A" w:rsidP="005F0C0A">
      <w:pPr>
        <w:pStyle w:val="Heading1"/>
      </w:pPr>
      <w:bookmarkStart w:id="5" w:name="O_759918"/>
      <w:bookmarkEnd w:id="5"/>
      <w:r w:rsidRPr="005F0C0A">
        <w:t>Foundation Skills</w:t>
      </w:r>
    </w:p>
    <w:p w:rsidR="00000000" w:rsidRPr="005F0C0A" w:rsidP="00406A95">
      <w:pPr>
        <w:pStyle w:val="BodyText"/>
      </w:pPr>
      <w:r w:rsidRPr="005F0C0A">
        <w:t>The foundation skills demands of this unit have been mapped for alignment with the Australian Core Skills Framework (ACSF). The fol</w:t>
      </w:r>
      <w:r w:rsidRPr="005F0C0A">
        <w:t>lowing tables outline the performance levels indicated for successful attainment of the unit.</w:t>
      </w:r>
    </w:p>
    <w:p w:rsidR="00000000" w:rsidRPr="005F0C0A" w:rsidP="005F0C0A">
      <w:pPr>
        <w:pStyle w:val="BodyText"/>
        <w:keepNext/>
      </w:pPr>
    </w:p>
    <w:p w:rsidR="00406A95" w:rsidP="005F0C0A">
      <w:pPr>
        <w:pStyle w:val="BodyText"/>
      </w:pPr>
      <w:bookmarkStart w:id="6" w:name="O_76042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61.25pt;width:474.75pt">
            <v:imagedata r:id="rId10" o:title=""/>
          </v:shape>
        </w:pict>
      </w:r>
      <w:bookmarkEnd w:id="6"/>
    </w:p>
    <w:p w:rsidR="00406A95" w:rsidP="005F0C0A">
      <w:pPr>
        <w:pStyle w:val="BodyText"/>
      </w:pPr>
    </w:p>
    <w:p w:rsidR="00000000" w:rsidRPr="005F0C0A" w:rsidP="00406A95">
      <w:pPr>
        <w:pStyle w:val="BodyText"/>
      </w:pPr>
      <w:r w:rsidRPr="005F0C0A">
        <w:t>Further information on ACSF and the foundation skills underpinning this unit can be found in the Foundation Skills Guide on the GSA website.</w:t>
      </w:r>
    </w:p>
    <w:p w:rsidR="00000000" w:rsidRPr="005F0C0A" w:rsidP="005F0C0A">
      <w:pPr>
        <w:pStyle w:val="Heading1"/>
      </w:pPr>
      <w:bookmarkStart w:id="7" w:name="O_759920"/>
      <w:bookmarkEnd w:id="7"/>
      <w:r w:rsidRPr="005F0C0A">
        <w:t>Unit Mapping Information</w:t>
      </w:r>
    </w:p>
    <w:p w:rsidR="00000000" w:rsidRPr="005F0C0A" w:rsidP="00406A95">
      <w:pPr>
        <w:pStyle w:val="BodyText"/>
      </w:pPr>
      <w:r w:rsidRPr="005F0C0A">
        <w:t>This unit supersedes and is equivalent to NWP226B Prepare and restore wor</w:t>
      </w:r>
      <w:r w:rsidRPr="005F0C0A">
        <w:t>k site.</w:t>
      </w:r>
    </w:p>
    <w:p w:rsidR="00000000" w:rsidRPr="005F0C0A" w:rsidP="005F0C0A">
      <w:pPr>
        <w:pStyle w:val="Heading1"/>
      </w:pPr>
      <w:bookmarkStart w:id="8" w:name="O_759927"/>
      <w:bookmarkEnd w:id="8"/>
      <w:r w:rsidRPr="005F0C0A">
        <w:t>Links</w:t>
      </w:r>
    </w:p>
    <w:p w:rsidR="00000000" w:rsidRPr="005F0C0A" w:rsidP="00406A95">
      <w:pPr>
        <w:pStyle w:val="BodyText"/>
      </w:pPr>
      <w:r w:rsidRPr="005F0C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C4D0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F0C0A" w:rsidP="00406A95">
      <w:pPr>
        <w:pStyle w:val="BodyText"/>
      </w:pPr>
      <w:r w:rsidRPr="005F0C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C4D0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F0C0A" w:rsidP="00406A95">
      <w:pPr>
        <w:pStyle w:val="BodyText"/>
      </w:pPr>
      <w:r w:rsidRPr="005F0C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C4D0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F0C0A" w:rsidP="00406A95">
      <w:pPr>
        <w:pStyle w:val="BodyText"/>
      </w:pPr>
      <w:r w:rsidRPr="005F0C0A">
        <w:t xml:space="preserve">Companion Volume implementation guides are </w:t>
      </w:r>
      <w:r w:rsidRPr="005F0C0A">
        <w:t xml:space="preserve">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C4D0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F0C0A" w:rsidP="005F0C0A"/>
    <w:sectPr w:rsidSect="005F0C0A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C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C0A" w:rsidRPr="00406A95" w:rsidP="00406A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C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A95" w:rsidP="005F0C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6A95" w:rsidP="005F0C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06A95" w:rsidP="005F0C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C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A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C0A" w:rsidRPr="00406A95" w:rsidP="00406A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C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A95" w:rsidRPr="002D2AF8" w:rsidP="005F0C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NWPNET002 Prepare and restore work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06A95" w:rsidP="005F0C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6A4E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5819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C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C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C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C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C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C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C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C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C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C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C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C0A"/>
  </w:style>
  <w:style w:type="character" w:customStyle="1" w:styleId="Heading1Char">
    <w:name w:val="Heading 1 Char"/>
    <w:basedOn w:val="DefaultParagraphFont"/>
    <w:link w:val="Heading1"/>
    <w:rsid w:val="005F0C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C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C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0C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0C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0C0A"/>
    <w:rPr>
      <w:b/>
      <w:spacing w:val="0"/>
    </w:rPr>
  </w:style>
  <w:style w:type="paragraph" w:customStyle="1" w:styleId="SuperHeading">
    <w:name w:val="SuperHeading"/>
    <w:basedOn w:val="Normal"/>
    <w:rsid w:val="005F0C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F0C0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F0C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0C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C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C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C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C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C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C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C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C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C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C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C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C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C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0C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C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C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C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0C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0C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C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C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C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C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C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C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C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C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0C0A"/>
    <w:rPr>
      <w:i/>
    </w:rPr>
  </w:style>
  <w:style w:type="paragraph" w:styleId="Caption">
    <w:name w:val="caption"/>
    <w:basedOn w:val="BodyText"/>
    <w:next w:val="Normal"/>
    <w:qFormat/>
    <w:rsid w:val="005F0C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C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C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C0A"/>
  </w:style>
  <w:style w:type="paragraph" w:styleId="TableofFigures">
    <w:name w:val="table of figures"/>
    <w:basedOn w:val="Normal"/>
    <w:next w:val="Normal"/>
    <w:semiHidden/>
    <w:rsid w:val="005F0C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C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0C0A"/>
    <w:rPr>
      <w:rFonts w:ascii="Wingdings" w:hAnsi="Wingdings"/>
    </w:rPr>
  </w:style>
  <w:style w:type="character" w:customStyle="1" w:styleId="HotSpot">
    <w:name w:val="HotSpot"/>
    <w:rsid w:val="005F0C0A"/>
    <w:rPr>
      <w:color w:val="0033CC"/>
      <w:u w:val="none"/>
    </w:rPr>
  </w:style>
  <w:style w:type="paragraph" w:customStyle="1" w:styleId="BodyTextRight">
    <w:name w:val="Body Text Right"/>
    <w:basedOn w:val="BodyText"/>
    <w:rsid w:val="005F0C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C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C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C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C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C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C0A"/>
    <w:rPr>
      <w:sz w:val="32"/>
    </w:rPr>
  </w:style>
  <w:style w:type="paragraph" w:customStyle="1" w:styleId="HeadingProcedure">
    <w:name w:val="Heading Procedure"/>
    <w:basedOn w:val="HeadingBase"/>
    <w:next w:val="Normal"/>
    <w:rsid w:val="005F0C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C0A"/>
    <w:pPr>
      <w:spacing w:before="60" w:after="60"/>
    </w:pPr>
  </w:style>
  <w:style w:type="paragraph" w:styleId="ListContinue">
    <w:name w:val="List Continue"/>
    <w:basedOn w:val="List"/>
    <w:rsid w:val="005F0C0A"/>
    <w:pPr>
      <w:ind w:firstLine="0"/>
    </w:pPr>
  </w:style>
  <w:style w:type="paragraph" w:customStyle="1" w:styleId="ListNote">
    <w:name w:val="List Note"/>
    <w:basedOn w:val="List"/>
    <w:rsid w:val="005F0C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C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C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C0A"/>
    <w:rPr>
      <w:rFonts w:ascii="Courier New" w:hAnsi="Courier New"/>
    </w:rPr>
  </w:style>
  <w:style w:type="paragraph" w:customStyle="1" w:styleId="NoteBullet">
    <w:name w:val="Note Bullet"/>
    <w:basedOn w:val="Note"/>
    <w:rsid w:val="005F0C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C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C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C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C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0C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C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C0A"/>
    <w:rPr>
      <w:b/>
      <w:smallCaps/>
    </w:rPr>
  </w:style>
  <w:style w:type="paragraph" w:customStyle="1" w:styleId="TableListNumber">
    <w:name w:val="Table List Number"/>
    <w:basedOn w:val="ListNumber"/>
    <w:rsid w:val="005F0C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C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C0A"/>
    <w:pPr>
      <w:numPr>
        <w:numId w:val="8"/>
      </w:numPr>
    </w:pPr>
  </w:style>
  <w:style w:type="paragraph" w:customStyle="1" w:styleId="ListAlpha2">
    <w:name w:val="List Alpha 2"/>
    <w:basedOn w:val="List2"/>
    <w:rsid w:val="005F0C0A"/>
    <w:pPr>
      <w:numPr>
        <w:numId w:val="7"/>
      </w:numPr>
    </w:pPr>
  </w:style>
  <w:style w:type="paragraph" w:styleId="List2">
    <w:name w:val="List 2"/>
    <w:basedOn w:val="BodyText"/>
    <w:rsid w:val="005F0C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C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C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C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C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C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0C0A"/>
    <w:pPr>
      <w:numPr>
        <w:numId w:val="3"/>
      </w:numPr>
    </w:pPr>
  </w:style>
  <w:style w:type="paragraph" w:styleId="ListContinue2">
    <w:name w:val="List Continue 2"/>
    <w:basedOn w:val="List2"/>
    <w:rsid w:val="005F0C0A"/>
    <w:pPr>
      <w:ind w:firstLine="0"/>
    </w:pPr>
  </w:style>
  <w:style w:type="paragraph" w:styleId="ListContinue3">
    <w:name w:val="List Continue 3"/>
    <w:basedOn w:val="List3"/>
    <w:rsid w:val="005F0C0A"/>
    <w:pPr>
      <w:ind w:left="1021" w:firstLine="0"/>
    </w:pPr>
  </w:style>
  <w:style w:type="paragraph" w:styleId="ListContinue4">
    <w:name w:val="List Continue 4"/>
    <w:basedOn w:val="List4"/>
    <w:rsid w:val="005F0C0A"/>
    <w:pPr>
      <w:ind w:firstLine="0"/>
    </w:pPr>
  </w:style>
  <w:style w:type="paragraph" w:styleId="ListContinue5">
    <w:name w:val="List Continue 5"/>
    <w:basedOn w:val="List5"/>
    <w:rsid w:val="005F0C0A"/>
    <w:pPr>
      <w:ind w:firstLine="0"/>
    </w:pPr>
  </w:style>
  <w:style w:type="paragraph" w:styleId="ListNumber3">
    <w:name w:val="List Number 3"/>
    <w:basedOn w:val="List3"/>
    <w:rsid w:val="005F0C0A"/>
    <w:pPr>
      <w:numPr>
        <w:numId w:val="4"/>
      </w:numPr>
    </w:pPr>
  </w:style>
  <w:style w:type="paragraph" w:styleId="ListNumber4">
    <w:name w:val="List Number 4"/>
    <w:basedOn w:val="List4"/>
    <w:rsid w:val="005F0C0A"/>
    <w:pPr>
      <w:numPr>
        <w:numId w:val="5"/>
      </w:numPr>
    </w:pPr>
  </w:style>
  <w:style w:type="paragraph" w:styleId="ListNumber5">
    <w:name w:val="List Number 5"/>
    <w:basedOn w:val="List5"/>
    <w:rsid w:val="005F0C0A"/>
    <w:pPr>
      <w:numPr>
        <w:numId w:val="6"/>
      </w:numPr>
    </w:pPr>
  </w:style>
  <w:style w:type="paragraph" w:styleId="BlockText">
    <w:name w:val="Block Text"/>
    <w:basedOn w:val="Normal"/>
    <w:rsid w:val="005F0C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C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C0A"/>
    <w:rPr>
      <w:sz w:val="16"/>
      <w:vertAlign w:val="superscript"/>
    </w:rPr>
  </w:style>
  <w:style w:type="character" w:customStyle="1" w:styleId="Symbols">
    <w:name w:val="Symbols"/>
    <w:basedOn w:val="DefaultParagraphFont"/>
    <w:rsid w:val="005F0C0A"/>
    <w:rPr>
      <w:rFonts w:ascii="Symbol" w:hAnsi="Symbol"/>
    </w:rPr>
  </w:style>
  <w:style w:type="character" w:customStyle="1" w:styleId="MenuOptions">
    <w:name w:val="Menu Options"/>
    <w:basedOn w:val="DefaultParagraphFont"/>
    <w:rsid w:val="005F0C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C0A"/>
    <w:rPr>
      <w:b/>
    </w:rPr>
  </w:style>
  <w:style w:type="character" w:customStyle="1" w:styleId="Underlined">
    <w:name w:val="Underlined"/>
    <w:basedOn w:val="DefaultParagraphFont"/>
    <w:rsid w:val="005F0C0A"/>
    <w:rPr>
      <w:u w:val="single"/>
    </w:rPr>
  </w:style>
  <w:style w:type="paragraph" w:customStyle="1" w:styleId="TableBodyTextRight">
    <w:name w:val="Table Body Text Right"/>
    <w:basedOn w:val="TableBodyText"/>
    <w:rsid w:val="005F0C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C0A"/>
    <w:rPr>
      <w:sz w:val="18"/>
    </w:rPr>
  </w:style>
  <w:style w:type="paragraph" w:customStyle="1" w:styleId="BodySmallRight">
    <w:name w:val="Body Small Right"/>
    <w:basedOn w:val="BodyTextRight"/>
    <w:rsid w:val="005F0C0A"/>
    <w:rPr>
      <w:sz w:val="18"/>
      <w:szCs w:val="18"/>
    </w:rPr>
  </w:style>
  <w:style w:type="paragraph" w:customStyle="1" w:styleId="MarginEdition">
    <w:name w:val="Margin Edition"/>
    <w:basedOn w:val="MarginNote"/>
    <w:rsid w:val="005F0C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C0A"/>
    <w:rPr>
      <w:sz w:val="2"/>
      <w:szCs w:val="2"/>
    </w:rPr>
  </w:style>
  <w:style w:type="character" w:customStyle="1" w:styleId="Small">
    <w:name w:val="Small"/>
    <w:basedOn w:val="DefaultParagraphFont"/>
    <w:rsid w:val="005F0C0A"/>
    <w:rPr>
      <w:sz w:val="16"/>
    </w:rPr>
  </w:style>
  <w:style w:type="paragraph" w:customStyle="1" w:styleId="WideTable">
    <w:name w:val="Wide Table"/>
    <w:basedOn w:val="Normal"/>
    <w:rsid w:val="005F0C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C0A"/>
  </w:style>
  <w:style w:type="paragraph" w:styleId="Quote">
    <w:name w:val="Quote"/>
    <w:basedOn w:val="Heading1"/>
    <w:link w:val="QuoteChar"/>
    <w:qFormat/>
    <w:rsid w:val="005F0C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C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C0A"/>
    <w:pPr>
      <w:pageBreakBefore/>
    </w:pPr>
  </w:style>
  <w:style w:type="paragraph" w:customStyle="1" w:styleId="Border">
    <w:name w:val="Border"/>
    <w:basedOn w:val="Normal"/>
    <w:qFormat/>
    <w:rsid w:val="005F0C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C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C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C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C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C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C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C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C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C0A"/>
    <w:rPr>
      <w:u w:val="single"/>
    </w:rPr>
  </w:style>
  <w:style w:type="character" w:customStyle="1" w:styleId="BoldandItalics">
    <w:name w:val="Bold and Italics"/>
    <w:qFormat/>
    <w:rsid w:val="005F0C0A"/>
    <w:rPr>
      <w:b/>
      <w:i/>
      <w:u w:val="none"/>
    </w:rPr>
  </w:style>
  <w:style w:type="paragraph" w:styleId="BalloonText">
    <w:name w:val="Balloon Text"/>
    <w:basedOn w:val="Normal"/>
    <w:link w:val="BalloonTextChar"/>
    <w:rsid w:val="005F0C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C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C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C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C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C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C0A"/>
    <w:pPr>
      <w:spacing w:before="0" w:after="0"/>
    </w:pPr>
  </w:style>
  <w:style w:type="paragraph" w:customStyle="1" w:styleId="BodyTextBold">
    <w:name w:val="Body Text Bold"/>
    <w:basedOn w:val="BodyText"/>
    <w:qFormat/>
    <w:rsid w:val="005F0C0A"/>
    <w:rPr>
      <w:b/>
    </w:rPr>
  </w:style>
  <w:style w:type="character" w:styleId="Hyperlink">
    <w:name w:val="Hyperlink"/>
    <w:basedOn w:val="DefaultParagraphFont"/>
    <w:uiPriority w:val="99"/>
    <w:unhideWhenUsed/>
    <w:rsid w:val="00406A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4021</Characters>
  <Application>Microsoft Office Word</Application>
  <DocSecurity>0</DocSecurity>
  <Lines>118</Lines>
  <Paragraphs>70</Paragraphs>
  <ScaleCrop>false</ScaleCrop>
  <Company>Author-it Software Corporation Ltd.</Company>
  <LinksUpToDate>false</LinksUpToDate>
  <CharactersWithSpaces>4580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NWPNET002 Prepare and restore work site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2023-01-24T13:46:00Z</dcterms:created>
  <dcterms:modified xsi:type="dcterms:W3CDTF">2023-01-24T13:46:00Z</dcterms:modified>
</cp:coreProperties>
</file>