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15F" w:rsidP="0025715F">
      <w:pPr>
        <w:pStyle w:val="Title"/>
      </w:pPr>
      <w:r>
        <w:fldChar w:fldCharType="begin"/>
      </w:r>
      <w:r>
        <w:instrText xml:space="preserve"> TITLE   \* MERGEFORMAT </w:instrText>
      </w:r>
      <w:r>
        <w:fldChar w:fldCharType="separate"/>
      </w:r>
      <w:r>
        <w:t>NWPHYS007 Use underwater acoustics to map waterways</w:t>
      </w:r>
      <w:r>
        <w:fldChar w:fldCharType="end"/>
      </w:r>
    </w:p>
    <w:p w:rsidR="0025715F" w:rsidP="0025715F">
      <w:pPr>
        <w:pStyle w:val="Version"/>
        <w:sectPr w:rsidSect="00E60F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FBC" w:rsidP="00E60FBC">
      <w:pPr>
        <w:pStyle w:val="SuperHeading"/>
      </w:pPr>
      <w:r w:rsidRPr="00E60FBC">
        <w:t>NWPHYS007 Use underwater acoustics to map waterways</w:t>
      </w:r>
    </w:p>
    <w:p w:rsidR="00000000" w:rsidRPr="00E60FBC" w:rsidP="00E60FBC">
      <w:pPr>
        <w:pStyle w:val="Heading1"/>
      </w:pPr>
      <w:bookmarkStart w:id="1" w:name="O_1010912"/>
      <w:bookmarkEnd w:id="1"/>
      <w:r w:rsidRPr="00E60FBC">
        <w:t>Modification History</w:t>
      </w:r>
    </w:p>
    <w:tbl>
      <w:tblPr>
        <w:tblW w:w="9497" w:type="dxa"/>
        <w:tblLayout w:type="fixed"/>
        <w:tblCellMar>
          <w:left w:w="62" w:type="dxa"/>
          <w:right w:w="62" w:type="dxa"/>
        </w:tblCellMar>
        <w:tblLook w:val="0000"/>
      </w:tblPr>
      <w:tblGrid>
        <w:gridCol w:w="9497"/>
      </w:tblGrid>
      <w:tr w:rsidTr="00E60F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t>Release 1.  This is the first release of this unit of competency in the NWP National Water Training Package.</w:t>
            </w:r>
          </w:p>
        </w:tc>
      </w:tr>
    </w:tbl>
    <w:p w:rsidR="00000000" w:rsidRPr="00E60FBC" w:rsidP="00E60FBC">
      <w:pPr>
        <w:pStyle w:val="NoPaddingFontSize1"/>
      </w:pPr>
    </w:p>
    <w:p w:rsidR="00000000" w:rsidRPr="00E60FBC" w:rsidP="00E60FBC">
      <w:pPr>
        <w:pStyle w:val="AllowPageBreak"/>
      </w:pPr>
    </w:p>
    <w:p w:rsidR="00000000" w:rsidRPr="00E60FBC" w:rsidP="00E60FBC">
      <w:pPr>
        <w:pStyle w:val="Heading1"/>
      </w:pPr>
      <w:bookmarkStart w:id="2" w:name="O_1010913"/>
      <w:bookmarkEnd w:id="2"/>
      <w:r w:rsidRPr="00E60FBC">
        <w:t>Application</w:t>
      </w:r>
    </w:p>
    <w:tbl>
      <w:tblPr>
        <w:tblW w:w="9497" w:type="dxa"/>
        <w:tblLayout w:type="fixed"/>
        <w:tblCellMar>
          <w:left w:w="62" w:type="dxa"/>
          <w:right w:w="62" w:type="dxa"/>
        </w:tblCellMar>
        <w:tblLook w:val="0000"/>
      </w:tblPr>
      <w:tblGrid>
        <w:gridCol w:w="9497"/>
      </w:tblGrid>
      <w:tr w:rsidTr="00E60F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t xml:space="preserve">This unit involves the skills and knowledge required to use underwater acoustics to </w:t>
            </w:r>
            <w:r w:rsidRPr="00E60FBC">
              <w:t>map waterways.</w:t>
            </w:r>
          </w:p>
          <w:p w:rsidR="00000000" w:rsidRPr="00E60FBC" w:rsidP="00E60FBC">
            <w:pPr>
              <w:pStyle w:val="BodyText"/>
            </w:pPr>
            <w:r w:rsidRPr="00E60FBC">
              <w:t xml:space="preserve">It includes applying acoustic theory and using single beam, side scan sonar and swath echo sounders. It also includes using sonar systems, reviewing and reporting results and understanding the differences between the different methods. </w:t>
            </w:r>
          </w:p>
          <w:p w:rsidR="00000000" w:rsidRPr="00E60FBC" w:rsidP="00E60FBC">
            <w:pPr>
              <w:pStyle w:val="BodyText"/>
            </w:pPr>
            <w:r w:rsidRPr="00E60FBC">
              <w:t>This</w:t>
            </w:r>
            <w:r w:rsidRPr="00E60FBC">
              <w:t xml:space="preserve"> unit supports the attainment of skills and knowledge required for leaders with responsibility for performing hydrographic surveying and may lead to certification as a hydrographic surveyor.</w:t>
            </w:r>
          </w:p>
        </w:tc>
      </w:tr>
    </w:tbl>
    <w:p w:rsidR="00000000" w:rsidRPr="00E60FBC" w:rsidP="00E60FBC">
      <w:pPr>
        <w:pStyle w:val="NoPaddingFontSize1"/>
      </w:pPr>
    </w:p>
    <w:p w:rsidR="00000000" w:rsidRPr="00E60FBC" w:rsidP="00E60FBC">
      <w:pPr>
        <w:pStyle w:val="AllowPageBreak"/>
      </w:pPr>
    </w:p>
    <w:p w:rsidR="00000000" w:rsidRPr="00E60FBC" w:rsidP="00E60FBC">
      <w:pPr>
        <w:pStyle w:val="Heading1"/>
      </w:pPr>
      <w:bookmarkStart w:id="3" w:name="O_1010914"/>
      <w:bookmarkEnd w:id="3"/>
      <w:r w:rsidRPr="00E60FBC">
        <w:t>Pre-requisite Unit</w:t>
      </w:r>
    </w:p>
    <w:tbl>
      <w:tblPr>
        <w:tblW w:w="9497" w:type="dxa"/>
        <w:tblLayout w:type="fixed"/>
        <w:tblCellMar>
          <w:left w:w="62" w:type="dxa"/>
          <w:right w:w="62" w:type="dxa"/>
        </w:tblCellMar>
        <w:tblLook w:val="0000"/>
      </w:tblPr>
      <w:tblGrid>
        <w:gridCol w:w="9497"/>
      </w:tblGrid>
      <w:tr w:rsidTr="00E60F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t>Not applicable.</w:t>
            </w:r>
          </w:p>
        </w:tc>
      </w:tr>
    </w:tbl>
    <w:p w:rsidR="00000000" w:rsidRPr="00E60FBC" w:rsidP="00E60FBC">
      <w:pPr>
        <w:pStyle w:val="NoPaddingFontSize1"/>
      </w:pPr>
    </w:p>
    <w:p w:rsidR="00000000" w:rsidRPr="00E60FBC" w:rsidP="00E60FBC">
      <w:pPr>
        <w:pStyle w:val="AllowPageBreak"/>
      </w:pPr>
    </w:p>
    <w:p w:rsidR="00000000" w:rsidRPr="00E60FBC" w:rsidP="00E60FBC">
      <w:pPr>
        <w:pStyle w:val="Heading1"/>
      </w:pPr>
      <w:bookmarkStart w:id="4" w:name="O_1010915"/>
      <w:bookmarkEnd w:id="4"/>
      <w:r w:rsidRPr="00E60FBC">
        <w:t>Competency Field</w:t>
      </w:r>
    </w:p>
    <w:tbl>
      <w:tblPr>
        <w:tblW w:w="9497" w:type="dxa"/>
        <w:tblLayout w:type="fixed"/>
        <w:tblCellMar>
          <w:left w:w="62" w:type="dxa"/>
          <w:right w:w="62" w:type="dxa"/>
        </w:tblCellMar>
        <w:tblLook w:val="0000"/>
      </w:tblPr>
      <w:tblGrid>
        <w:gridCol w:w="9497"/>
      </w:tblGrid>
      <w:tr w:rsidTr="00E60F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t>Hydrographic Surveyor</w:t>
            </w:r>
          </w:p>
        </w:tc>
      </w:tr>
    </w:tbl>
    <w:p w:rsidR="00000000" w:rsidRPr="00E60FBC" w:rsidP="00E60FBC">
      <w:pPr>
        <w:pStyle w:val="NoPaddingFontSize1"/>
      </w:pPr>
    </w:p>
    <w:p w:rsidR="00000000" w:rsidRPr="00E60FBC" w:rsidP="00E60FBC">
      <w:pPr>
        <w:pStyle w:val="AllowPageBreak"/>
      </w:pPr>
    </w:p>
    <w:p w:rsidR="00000000" w:rsidRPr="00E60FBC" w:rsidP="00E60FBC">
      <w:pPr>
        <w:pStyle w:val="Heading1"/>
      </w:pPr>
      <w:bookmarkStart w:id="5" w:name="O_1010916"/>
      <w:bookmarkEnd w:id="5"/>
      <w:r w:rsidRPr="00E60FBC">
        <w:t>Unit Sector</w:t>
      </w:r>
    </w:p>
    <w:tbl>
      <w:tblPr>
        <w:tblW w:w="9497" w:type="dxa"/>
        <w:tblLayout w:type="fixed"/>
        <w:tblCellMar>
          <w:left w:w="62" w:type="dxa"/>
          <w:right w:w="62" w:type="dxa"/>
        </w:tblCellMar>
        <w:tblLook w:val="0000"/>
      </w:tblPr>
      <w:tblGrid>
        <w:gridCol w:w="9497"/>
      </w:tblGrid>
      <w:tr w:rsidTr="00E60F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t>Not applicable.</w:t>
            </w:r>
          </w:p>
        </w:tc>
      </w:tr>
    </w:tbl>
    <w:p w:rsidR="00000000" w:rsidRPr="00E60FBC" w:rsidP="00E60FBC">
      <w:pPr>
        <w:pStyle w:val="NoPaddingFontSize1"/>
      </w:pPr>
    </w:p>
    <w:p w:rsidR="00000000" w:rsidRPr="00E60FBC" w:rsidP="00E60FBC">
      <w:pPr>
        <w:pStyle w:val="AllowPageBreak"/>
      </w:pPr>
    </w:p>
    <w:p w:rsidR="00000000" w:rsidRPr="00E60FBC" w:rsidP="00E60FBC">
      <w:pPr>
        <w:pStyle w:val="Heading1"/>
      </w:pPr>
      <w:bookmarkStart w:id="6" w:name="O_1010917"/>
      <w:bookmarkEnd w:id="6"/>
      <w:r w:rsidRPr="00E60FB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60F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PERFORMANCE CRITERIA</w:t>
            </w:r>
          </w:p>
        </w:tc>
      </w:tr>
      <w:tr w:rsidTr="00E60F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t>Performance criteria describe the performance needed to demonstrate achievement of the element.</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rPr>
                <w:rStyle w:val="SpecialBold"/>
              </w:rPr>
              <w:t>Apply underwater</w:t>
            </w:r>
            <w:r w:rsidRPr="00E60FBC">
              <w:t xml:space="preserve"> </w:t>
            </w:r>
            <w:r w:rsidRPr="00E60FBC">
              <w:rPr>
                <w:rStyle w:val="SpecialBold"/>
              </w:rPr>
              <w:t>acoustics</w:t>
            </w: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1.1</w:t>
            </w:r>
          </w:p>
        </w:tc>
        <w:tc>
          <w:tcPr>
            <w:tcW w:w="5592" w:type="dxa"/>
            <w:tcBorders>
              <w:top w:val="nil"/>
              <w:left w:val="nil"/>
              <w:bottom w:val="nil"/>
              <w:right w:val="nil"/>
            </w:tcBorders>
            <w:tcMar>
              <w:top w:w="0" w:type="dxa"/>
              <w:left w:w="62" w:type="dxa"/>
              <w:bottom w:w="0" w:type="dxa"/>
              <w:right w:w="62" w:type="dxa"/>
            </w:tcMar>
            <w:vAlign w:val="bottom"/>
          </w:tcPr>
          <w:p w:rsidR="00000000" w:rsidP="00E60FBC">
            <w:pPr>
              <w:pStyle w:val="BodyText"/>
              <w:rPr>
                <w:lang w:val="en-NZ"/>
              </w:rPr>
            </w:pPr>
            <w:r w:rsidRPr="00E60FBC">
              <w:t>Analyse and determine the generation of acoustic waves in relation to hydrographic surveying</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1.2</w:t>
            </w:r>
          </w:p>
        </w:tc>
        <w:tc>
          <w:tcPr>
            <w:tcW w:w="5592" w:type="dxa"/>
            <w:tcBorders>
              <w:top w:val="nil"/>
              <w:left w:val="nil"/>
              <w:bottom w:val="nil"/>
              <w:right w:val="nil"/>
            </w:tcBorders>
            <w:tcMar>
              <w:top w:w="0" w:type="dxa"/>
              <w:left w:w="62" w:type="dxa"/>
              <w:bottom w:w="0" w:type="dxa"/>
              <w:right w:w="62" w:type="dxa"/>
            </w:tcMar>
            <w:vAlign w:val="bottom"/>
          </w:tcPr>
          <w:p w:rsidR="00000000" w:rsidP="00E60FBC">
            <w:pPr>
              <w:pStyle w:val="BodyText"/>
              <w:rPr>
                <w:lang w:val="en-NZ"/>
              </w:rPr>
            </w:pPr>
            <w:r w:rsidRPr="00E60FBC">
              <w:t>Analyse the propagation of acoustic waves for hydrographic surveys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1.3</w:t>
            </w:r>
          </w:p>
        </w:tc>
        <w:tc>
          <w:tcPr>
            <w:tcW w:w="5592" w:type="dxa"/>
            <w:tcBorders>
              <w:top w:val="nil"/>
              <w:left w:val="nil"/>
              <w:bottom w:val="nil"/>
              <w:right w:val="nil"/>
            </w:tcBorders>
            <w:tcMar>
              <w:top w:w="0" w:type="dxa"/>
              <w:left w:w="62" w:type="dxa"/>
              <w:bottom w:w="0" w:type="dxa"/>
              <w:right w:w="62" w:type="dxa"/>
            </w:tcMar>
            <w:vAlign w:val="bottom"/>
          </w:tcPr>
          <w:p w:rsidR="00000000" w:rsidP="00E60FBC">
            <w:pPr>
              <w:pStyle w:val="BodyText"/>
              <w:rPr>
                <w:lang w:val="en-NZ"/>
              </w:rPr>
            </w:pPr>
            <w:r w:rsidRPr="00E60FBC">
              <w:t>Determine reflection and scatter of acoustic waves and analyse effects on system performance of acoustic equipment</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1.4</w:t>
            </w:r>
          </w:p>
        </w:tc>
        <w:tc>
          <w:tcPr>
            <w:tcW w:w="5592" w:type="dxa"/>
            <w:tcBorders>
              <w:top w:val="nil"/>
              <w:left w:val="nil"/>
              <w:bottom w:val="nil"/>
              <w:right w:val="nil"/>
            </w:tcBorders>
            <w:tcMar>
              <w:top w:w="0" w:type="dxa"/>
              <w:left w:w="62" w:type="dxa"/>
              <w:bottom w:w="0" w:type="dxa"/>
              <w:right w:w="62" w:type="dxa"/>
            </w:tcMar>
            <w:vAlign w:val="bottom"/>
          </w:tcPr>
          <w:p w:rsidR="00000000" w:rsidP="00E60FBC">
            <w:pPr>
              <w:pStyle w:val="BodyText"/>
              <w:rPr>
                <w:lang w:val="en-NZ"/>
              </w:rPr>
            </w:pPr>
            <w:r w:rsidRPr="00E60FBC">
              <w:t>Analyse the reception of acoustic waves for hydrographic surveys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t>Analyse the sonar equation for hydrographic surveys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t>Apply quality control procedures to data acquisition and on-line processing to validate information according to workplace pr</w:t>
            </w:r>
            <w:r w:rsidRPr="00E60FBC">
              <w:t>ocedures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rPr>
                <w:rStyle w:val="SpecialBold"/>
              </w:rPr>
              <w:t>Use sonar systems</w:t>
            </w: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2.1</w:t>
            </w:r>
          </w:p>
        </w:tc>
        <w:tc>
          <w:tcPr>
            <w:tcW w:w="5592" w:type="dxa"/>
            <w:tcBorders>
              <w:top w:val="nil"/>
              <w:left w:val="nil"/>
              <w:bottom w:val="nil"/>
              <w:right w:val="nil"/>
            </w:tcBorders>
            <w:tcMar>
              <w:top w:w="0" w:type="dxa"/>
              <w:left w:w="62" w:type="dxa"/>
              <w:bottom w:w="0" w:type="dxa"/>
              <w:right w:w="62" w:type="dxa"/>
            </w:tcMar>
            <w:vAlign w:val="bottom"/>
          </w:tcPr>
          <w:p w:rsidR="00000000" w:rsidP="00E60FBC">
            <w:pPr>
              <w:pStyle w:val="BodyText"/>
              <w:rPr>
                <w:lang w:val="en-NZ"/>
              </w:rPr>
            </w:pPr>
            <w:r w:rsidRPr="00E60FBC">
              <w:t>Set up, deploy, operate and adjust underwater sonar systems according to manufacturer specifications and workplace procedures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2.2</w:t>
            </w:r>
          </w:p>
        </w:tc>
        <w:tc>
          <w:tcPr>
            <w:tcW w:w="5592" w:type="dxa"/>
            <w:tcBorders>
              <w:top w:val="nil"/>
              <w:left w:val="nil"/>
              <w:bottom w:val="nil"/>
              <w:right w:val="nil"/>
            </w:tcBorders>
            <w:tcMar>
              <w:top w:w="0" w:type="dxa"/>
              <w:left w:w="62" w:type="dxa"/>
              <w:bottom w:w="0" w:type="dxa"/>
              <w:right w:w="62" w:type="dxa"/>
            </w:tcMar>
            <w:vAlign w:val="bottom"/>
          </w:tcPr>
          <w:p w:rsidR="00000000" w:rsidP="00E60FBC">
            <w:pPr>
              <w:pStyle w:val="BodyText"/>
              <w:rPr>
                <w:lang w:val="en-NZ"/>
              </w:rPr>
            </w:pPr>
            <w:r w:rsidRPr="00E60FBC">
              <w:t>Interpret echo sounder returns through differentiation between return signals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2.3</w:t>
            </w:r>
          </w:p>
        </w:tc>
        <w:tc>
          <w:tcPr>
            <w:tcW w:w="5592" w:type="dxa"/>
            <w:tcBorders>
              <w:top w:val="nil"/>
              <w:left w:val="nil"/>
              <w:bottom w:val="nil"/>
              <w:right w:val="nil"/>
            </w:tcBorders>
            <w:tcMar>
              <w:top w:w="0" w:type="dxa"/>
              <w:left w:w="62" w:type="dxa"/>
              <w:bottom w:w="0" w:type="dxa"/>
              <w:right w:w="62" w:type="dxa"/>
            </w:tcMar>
            <w:vAlign w:val="bottom"/>
          </w:tcPr>
          <w:p w:rsidR="00000000" w:rsidP="00E60FBC">
            <w:pPr>
              <w:pStyle w:val="BodyText"/>
              <w:rPr>
                <w:lang w:val="en-NZ"/>
              </w:rPr>
            </w:pPr>
            <w:r w:rsidRPr="00E60FBC">
              <w:t>Calculate and report components in derived ranges according to workplace procedures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2.4</w:t>
            </w:r>
          </w:p>
        </w:tc>
        <w:tc>
          <w:tcPr>
            <w:tcW w:w="5592" w:type="dxa"/>
            <w:tcBorders>
              <w:top w:val="nil"/>
              <w:left w:val="nil"/>
              <w:bottom w:val="nil"/>
              <w:right w:val="nil"/>
            </w:tcBorders>
            <w:tcMar>
              <w:top w:w="0" w:type="dxa"/>
              <w:left w:w="62" w:type="dxa"/>
              <w:bottom w:w="0" w:type="dxa"/>
              <w:right w:w="62" w:type="dxa"/>
            </w:tcMar>
            <w:vAlign w:val="bottom"/>
          </w:tcPr>
          <w:p w:rsidR="00000000" w:rsidP="00E60FBC">
            <w:pPr>
              <w:pStyle w:val="BodyText"/>
              <w:rPr>
                <w:lang w:val="en-NZ"/>
              </w:rPr>
            </w:pPr>
            <w:r w:rsidRPr="00E60FBC">
              <w:t>Determine and analyse beams in relation to transducer settings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2.5</w:t>
            </w:r>
          </w:p>
        </w:tc>
        <w:tc>
          <w:tcPr>
            <w:tcW w:w="5592" w:type="dxa"/>
            <w:tcBorders>
              <w:top w:val="nil"/>
              <w:left w:val="nil"/>
              <w:bottom w:val="nil"/>
              <w:right w:val="nil"/>
            </w:tcBorders>
            <w:tcMar>
              <w:top w:w="0" w:type="dxa"/>
              <w:left w:w="62" w:type="dxa"/>
              <w:bottom w:w="0" w:type="dxa"/>
              <w:right w:w="62" w:type="dxa"/>
            </w:tcMar>
            <w:vAlign w:val="center"/>
          </w:tcPr>
          <w:p w:rsidR="00000000" w:rsidP="00E60FBC">
            <w:pPr>
              <w:pStyle w:val="BodyText"/>
              <w:rPr>
                <w:lang w:val="en-NZ"/>
              </w:rPr>
            </w:pPr>
            <w:r w:rsidRPr="00E60FBC">
              <w:t>Use phase and amplitude multibeam systems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2.6</w:t>
            </w:r>
          </w:p>
        </w:tc>
        <w:tc>
          <w:tcPr>
            <w:tcW w:w="5592" w:type="dxa"/>
            <w:tcBorders>
              <w:top w:val="nil"/>
              <w:left w:val="nil"/>
              <w:bottom w:val="nil"/>
              <w:right w:val="nil"/>
            </w:tcBorders>
            <w:tcMar>
              <w:top w:w="0" w:type="dxa"/>
              <w:left w:w="62" w:type="dxa"/>
              <w:bottom w:w="0" w:type="dxa"/>
              <w:right w:w="62" w:type="dxa"/>
            </w:tcMar>
            <w:vAlign w:val="center"/>
          </w:tcPr>
          <w:p w:rsidR="00000000" w:rsidP="00E60FBC">
            <w:pPr>
              <w:pStyle w:val="BodyText"/>
              <w:rPr>
                <w:lang w:val="en-NZ"/>
              </w:rPr>
            </w:pPr>
            <w:r w:rsidRPr="00E60FBC">
              <w:t>Analyse returns in the context of marine floor type, angle of incidence and backscatter from within the water column</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2.7</w:t>
            </w:r>
          </w:p>
        </w:tc>
        <w:tc>
          <w:tcPr>
            <w:tcW w:w="5592" w:type="dxa"/>
            <w:tcBorders>
              <w:top w:val="nil"/>
              <w:left w:val="nil"/>
              <w:bottom w:val="nil"/>
              <w:right w:val="nil"/>
            </w:tcBorders>
            <w:tcMar>
              <w:top w:w="0" w:type="dxa"/>
              <w:left w:w="62" w:type="dxa"/>
              <w:bottom w:w="0" w:type="dxa"/>
              <w:right w:w="62" w:type="dxa"/>
            </w:tcMar>
            <w:vAlign w:val="center"/>
          </w:tcPr>
          <w:p w:rsidR="00000000" w:rsidP="00E60FBC">
            <w:pPr>
              <w:pStyle w:val="BodyText"/>
              <w:rPr>
                <w:lang w:val="en-NZ"/>
              </w:rPr>
            </w:pPr>
            <w:r w:rsidRPr="00E60FBC">
              <w:t>Determine sounding density and object detection capability as functions of system parameters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2.8</w:t>
            </w:r>
          </w:p>
        </w:tc>
        <w:tc>
          <w:tcPr>
            <w:tcW w:w="5592" w:type="dxa"/>
            <w:tcBorders>
              <w:top w:val="nil"/>
              <w:left w:val="nil"/>
              <w:bottom w:val="nil"/>
              <w:right w:val="nil"/>
            </w:tcBorders>
            <w:tcMar>
              <w:top w:w="0" w:type="dxa"/>
              <w:left w:w="62" w:type="dxa"/>
              <w:bottom w:w="0" w:type="dxa"/>
              <w:right w:w="62" w:type="dxa"/>
            </w:tcMar>
            <w:vAlign w:val="center"/>
          </w:tcPr>
          <w:p w:rsidR="00000000" w:rsidP="00E60FBC">
            <w:pPr>
              <w:pStyle w:val="BodyText"/>
              <w:rPr>
                <w:lang w:val="en-NZ"/>
              </w:rPr>
            </w:pPr>
            <w:r w:rsidRPr="00E60FBC">
              <w:t>Determine and use suitable mounting structure and location for transducers according to manufacturer instructions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2.9</w:t>
            </w:r>
          </w:p>
        </w:tc>
        <w:tc>
          <w:tcPr>
            <w:tcW w:w="5592" w:type="dxa"/>
            <w:tcBorders>
              <w:top w:val="nil"/>
              <w:left w:val="nil"/>
              <w:bottom w:val="nil"/>
              <w:right w:val="nil"/>
            </w:tcBorders>
            <w:tcMar>
              <w:top w:w="0" w:type="dxa"/>
              <w:left w:w="62" w:type="dxa"/>
              <w:bottom w:w="0" w:type="dxa"/>
              <w:right w:w="62" w:type="dxa"/>
            </w:tcMar>
            <w:vAlign w:val="bottom"/>
          </w:tcPr>
          <w:p w:rsidR="00000000" w:rsidP="00E60FBC">
            <w:pPr>
              <w:pStyle w:val="BodyText"/>
              <w:rPr>
                <w:lang w:val="en-NZ"/>
              </w:rPr>
            </w:pPr>
            <w:r w:rsidRPr="00E60FBC">
              <w:t xml:space="preserve">Determine and analyse error sources for phase and amplitude detection modes </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rPr>
                <w:rStyle w:val="SpecialBold"/>
              </w:rPr>
              <w:t>Review and report acoustic results</w:t>
            </w: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t>Review processes to ensure accuracy of information gathered, report anomalies and analyse solutions</w:t>
            </w:r>
          </w:p>
        </w:tc>
      </w:tr>
      <w:tr w:rsidTr="00E60F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F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FBC">
            <w:pPr>
              <w:pStyle w:val="BodyText"/>
              <w:rPr>
                <w:lang w:val="en-NZ"/>
              </w:rPr>
            </w:pPr>
            <w:r w:rsidRPr="00E60F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t>Complete acoustic reports and present to relevant personnel according to workplace procedures and industry standards</w:t>
            </w:r>
          </w:p>
        </w:tc>
      </w:tr>
    </w:tbl>
    <w:p w:rsidR="00000000" w:rsidRPr="00E60FBC" w:rsidP="00E60FBC">
      <w:pPr>
        <w:pStyle w:val="NoPaddingFontSize1"/>
      </w:pPr>
    </w:p>
    <w:p w:rsidR="00000000" w:rsidRPr="00E60FBC" w:rsidP="00E60FBC">
      <w:pPr>
        <w:pStyle w:val="AllowPageBreak"/>
      </w:pPr>
    </w:p>
    <w:p w:rsidR="00000000" w:rsidRPr="00E60FBC" w:rsidP="00E60FBC">
      <w:pPr>
        <w:pStyle w:val="Heading1"/>
      </w:pPr>
      <w:bookmarkStart w:id="7" w:name="O_1010918"/>
      <w:bookmarkEnd w:id="7"/>
      <w:r w:rsidRPr="00E60FBC">
        <w:t xml:space="preserve">Foundation </w:t>
      </w:r>
      <w:r w:rsidRPr="00E60FBC">
        <w:t>Skills</w:t>
      </w:r>
    </w:p>
    <w:tbl>
      <w:tblPr>
        <w:tblW w:w="9497" w:type="dxa"/>
        <w:tblLayout w:type="fixed"/>
        <w:tblCellMar>
          <w:left w:w="62" w:type="dxa"/>
          <w:right w:w="62" w:type="dxa"/>
        </w:tblCellMar>
        <w:tblLook w:val="0000"/>
      </w:tblPr>
      <w:tblGrid>
        <w:gridCol w:w="9497"/>
      </w:tblGrid>
      <w:tr w:rsidTr="00E60F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t>Foundation skills essential to performance are explicit in the performance criteria of this unit of competency.</w:t>
            </w:r>
          </w:p>
        </w:tc>
      </w:tr>
    </w:tbl>
    <w:p w:rsidR="00000000" w:rsidRPr="00E60FBC" w:rsidP="00E60FBC">
      <w:pPr>
        <w:pStyle w:val="NoPaddingFontSize1"/>
      </w:pPr>
    </w:p>
    <w:p w:rsidR="00000000" w:rsidRPr="00E60FBC" w:rsidP="00E60FBC">
      <w:pPr>
        <w:pStyle w:val="AllowPageBreak"/>
      </w:pPr>
    </w:p>
    <w:p w:rsidR="00000000" w:rsidRPr="00E60FBC" w:rsidP="00E60FBC">
      <w:pPr>
        <w:pStyle w:val="Heading1"/>
      </w:pPr>
      <w:bookmarkStart w:id="8" w:name="O_1010919"/>
      <w:bookmarkEnd w:id="8"/>
      <w:r w:rsidRPr="00E60FBC">
        <w:t>Range of Conditions</w:t>
      </w:r>
    </w:p>
    <w:tbl>
      <w:tblPr>
        <w:tblW w:w="9497" w:type="dxa"/>
        <w:tblLayout w:type="fixed"/>
        <w:tblCellMar>
          <w:left w:w="62" w:type="dxa"/>
          <w:right w:w="62" w:type="dxa"/>
        </w:tblCellMar>
        <w:tblLook w:val="0000"/>
      </w:tblPr>
      <w:tblGrid>
        <w:gridCol w:w="9497"/>
      </w:tblGrid>
      <w:tr w:rsidTr="00E60F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t>Range is restricted to essential operating conditions and any other variables essential to the w</w:t>
            </w:r>
            <w:r w:rsidRPr="00E60FBC">
              <w:t>ork environment.</w:t>
            </w:r>
          </w:p>
        </w:tc>
      </w:tr>
    </w:tbl>
    <w:p w:rsidR="00000000" w:rsidRPr="00E60FBC" w:rsidP="00E60FBC">
      <w:pPr>
        <w:pStyle w:val="NoPaddingFontSize1"/>
      </w:pPr>
    </w:p>
    <w:p w:rsidR="00000000" w:rsidRPr="00E60FBC" w:rsidP="00E60FBC">
      <w:pPr>
        <w:pStyle w:val="AllowPageBreak"/>
      </w:pPr>
    </w:p>
    <w:p w:rsidR="00000000" w:rsidRPr="00E60FBC" w:rsidP="00E60FBC">
      <w:pPr>
        <w:pStyle w:val="Heading1"/>
      </w:pPr>
      <w:bookmarkStart w:id="9" w:name="O_1010920"/>
      <w:bookmarkEnd w:id="9"/>
      <w:r w:rsidRPr="00E60FBC">
        <w:t>Unit Mapping Information</w:t>
      </w:r>
    </w:p>
    <w:tbl>
      <w:tblPr>
        <w:tblW w:w="9497" w:type="dxa"/>
        <w:tblLayout w:type="fixed"/>
        <w:tblCellMar>
          <w:left w:w="62" w:type="dxa"/>
          <w:right w:w="62" w:type="dxa"/>
        </w:tblCellMar>
        <w:tblLook w:val="0000"/>
      </w:tblPr>
      <w:tblGrid>
        <w:gridCol w:w="9497"/>
      </w:tblGrid>
      <w:tr w:rsidTr="00E60F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FBC" w:rsidP="00E60FBC">
            <w:pPr>
              <w:pStyle w:val="BodyText"/>
            </w:pPr>
            <w:r w:rsidRPr="00E60FBC">
              <w:t>This is a new unit. No equivalent unit.</w:t>
            </w:r>
          </w:p>
        </w:tc>
      </w:tr>
    </w:tbl>
    <w:p w:rsidR="00000000" w:rsidRPr="00E60FBC" w:rsidP="00E60FBC">
      <w:pPr>
        <w:pStyle w:val="NoPaddingFontSize1"/>
      </w:pPr>
    </w:p>
    <w:p w:rsidR="00000000" w:rsidRPr="00E60FBC" w:rsidP="00E60FBC">
      <w:pPr>
        <w:pStyle w:val="AllowPageBreak"/>
      </w:pPr>
    </w:p>
    <w:p w:rsidR="00000000" w:rsidRPr="00E60FBC" w:rsidP="00E60FBC">
      <w:pPr>
        <w:pStyle w:val="Heading1"/>
      </w:pPr>
      <w:bookmarkStart w:id="10" w:name="O_1010927"/>
      <w:bookmarkEnd w:id="10"/>
      <w:r w:rsidRPr="00E60FBC">
        <w:t>Links</w:t>
      </w:r>
    </w:p>
    <w:p w:rsidR="00000000" w:rsidRPr="00E60FBC" w:rsidP="0025715F">
      <w:pPr>
        <w:pStyle w:val="BodyText"/>
      </w:pPr>
      <w:r w:rsidRPr="00E60FBC">
        <w:t xml:space="preserve">Companion Volume Implementation Guides are found </w:t>
      </w:r>
      <w:r w:rsidRPr="00E60FBC">
        <w:t xml:space="preserve">in VETNet - </w:t>
      </w:r>
      <w:r>
        <w:fldChar w:fldCharType="begin"/>
      </w:r>
      <w:r>
        <w:instrText xml:space="preserve"> HYPERLINK "https://vetnet.gov.au/Pages/TrainingDocs.aspx?q=26336bc0-04e5-49d9-8c31-46c49b6a0037" </w:instrText>
      </w:r>
      <w:r>
        <w:fldChar w:fldCharType="separate"/>
      </w:r>
      <w:r w:rsidRPr="00E40812">
        <w:rPr>
          <w:rStyle w:val="Hyperlink"/>
        </w:rPr>
        <w:t>https://vetnet.gov.au/Pages/TrainingDocs.aspx?q=26336bc0-04e5-49d9-8c31-46c49b6a0037</w:t>
      </w:r>
      <w:r>
        <w:fldChar w:fldCharType="end"/>
      </w:r>
    </w:p>
    <w:p w:rsidR="00000000" w:rsidRPr="00E60FBC" w:rsidP="00E60FBC"/>
    <w:sectPr w:rsidSect="00E60F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BC" w:rsidRPr="0025715F" w:rsidP="00257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15F" w:rsidP="00E60F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715F" w:rsidP="00E60F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715F" w:rsidP="00E60F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1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FBC" w:rsidRPr="0025715F" w:rsidP="002571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15F" w:rsidRPr="002D2AF8" w:rsidP="00E60FBC">
    <w:pPr>
      <w:pStyle w:val="Header"/>
      <w:framePr w:wrap="around"/>
    </w:pPr>
    <w:r>
      <w:fldChar w:fldCharType="begin"/>
    </w:r>
    <w:r>
      <w:instrText xml:space="preserve"> TITLE   \* MERGEFORMAT </w:instrText>
    </w:r>
    <w:r>
      <w:fldChar w:fldCharType="separate"/>
    </w:r>
    <w:r>
      <w:t>NWPHYS007 Use underwater acoustics to map waterways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5715F" w:rsidP="00E60F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F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FBC"/>
    <w:pPr>
      <w:spacing w:before="360" w:after="60"/>
      <w:outlineLvl w:val="0"/>
    </w:pPr>
    <w:rPr>
      <w:sz w:val="32"/>
    </w:rPr>
  </w:style>
  <w:style w:type="paragraph" w:styleId="Heading2">
    <w:name w:val="heading 2"/>
    <w:basedOn w:val="HeadingBase"/>
    <w:next w:val="BodyText"/>
    <w:link w:val="Heading2Char"/>
    <w:qFormat/>
    <w:rsid w:val="00E60FBC"/>
    <w:pPr>
      <w:keepLines/>
      <w:spacing w:before="240" w:after="120"/>
      <w:outlineLvl w:val="1"/>
    </w:pPr>
    <w:rPr>
      <w:sz w:val="28"/>
      <w:szCs w:val="40"/>
    </w:rPr>
  </w:style>
  <w:style w:type="paragraph" w:styleId="Heading3">
    <w:name w:val="heading 3"/>
    <w:basedOn w:val="HeadingBase"/>
    <w:next w:val="BodyText"/>
    <w:link w:val="Heading3Char"/>
    <w:qFormat/>
    <w:rsid w:val="00E60FBC"/>
    <w:pPr>
      <w:spacing w:before="180" w:after="120"/>
      <w:outlineLvl w:val="2"/>
    </w:pPr>
    <w:rPr>
      <w:spacing w:val="-10"/>
      <w:kern w:val="32"/>
    </w:rPr>
  </w:style>
  <w:style w:type="paragraph" w:styleId="Heading4">
    <w:name w:val="heading 4"/>
    <w:basedOn w:val="HeadingBase"/>
    <w:next w:val="BodyText"/>
    <w:link w:val="Heading4Char"/>
    <w:qFormat/>
    <w:rsid w:val="00E60FBC"/>
    <w:pPr>
      <w:spacing w:before="160" w:after="120"/>
      <w:outlineLvl w:val="3"/>
    </w:pPr>
    <w:rPr>
      <w:sz w:val="22"/>
    </w:rPr>
  </w:style>
  <w:style w:type="paragraph" w:styleId="Heading5">
    <w:name w:val="heading 5"/>
    <w:basedOn w:val="HeadingBase"/>
    <w:next w:val="Normal"/>
    <w:link w:val="Heading5Char"/>
    <w:qFormat/>
    <w:rsid w:val="00E60FBC"/>
    <w:pPr>
      <w:spacing w:before="80"/>
      <w:outlineLvl w:val="4"/>
    </w:pPr>
    <w:rPr>
      <w:color w:val="918585"/>
      <w:sz w:val="20"/>
    </w:rPr>
  </w:style>
  <w:style w:type="paragraph" w:styleId="Heading6">
    <w:name w:val="heading 6"/>
    <w:basedOn w:val="HeadingBase"/>
    <w:next w:val="Normal"/>
    <w:link w:val="Heading6Char"/>
    <w:qFormat/>
    <w:rsid w:val="00E60FBC"/>
    <w:pPr>
      <w:spacing w:before="60"/>
      <w:outlineLvl w:val="5"/>
    </w:pPr>
    <w:rPr>
      <w:color w:val="918585"/>
      <w:sz w:val="20"/>
    </w:rPr>
  </w:style>
  <w:style w:type="paragraph" w:styleId="Heading7">
    <w:name w:val="heading 7"/>
    <w:basedOn w:val="Normal"/>
    <w:next w:val="Normal"/>
    <w:link w:val="Heading7Char"/>
    <w:qFormat/>
    <w:rsid w:val="00E60FBC"/>
    <w:pPr>
      <w:ind w:left="720"/>
      <w:outlineLvl w:val="6"/>
    </w:pPr>
    <w:rPr>
      <w:i/>
    </w:rPr>
  </w:style>
  <w:style w:type="paragraph" w:styleId="Heading8">
    <w:name w:val="heading 8"/>
    <w:basedOn w:val="Normal"/>
    <w:next w:val="Normal"/>
    <w:link w:val="Heading8Char"/>
    <w:qFormat/>
    <w:rsid w:val="00E60FBC"/>
    <w:pPr>
      <w:ind w:left="720"/>
      <w:outlineLvl w:val="7"/>
    </w:pPr>
    <w:rPr>
      <w:i/>
    </w:rPr>
  </w:style>
  <w:style w:type="paragraph" w:styleId="Heading9">
    <w:name w:val="heading 9"/>
    <w:basedOn w:val="Normal"/>
    <w:next w:val="Normal"/>
    <w:link w:val="Heading9Char"/>
    <w:qFormat/>
    <w:rsid w:val="00E60FBC"/>
    <w:pPr>
      <w:ind w:left="720"/>
      <w:outlineLvl w:val="8"/>
    </w:pPr>
    <w:rPr>
      <w:i/>
    </w:rPr>
  </w:style>
  <w:style w:type="character" w:default="1" w:styleId="DefaultParagraphFont">
    <w:name w:val="Default Paragraph Font"/>
    <w:uiPriority w:val="1"/>
    <w:unhideWhenUsed/>
    <w:rsid w:val="00E60F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FBC"/>
  </w:style>
  <w:style w:type="character" w:customStyle="1" w:styleId="Heading1Char">
    <w:name w:val="Heading 1 Char"/>
    <w:basedOn w:val="DefaultParagraphFont"/>
    <w:link w:val="Heading1"/>
    <w:rsid w:val="00E60FBC"/>
    <w:rPr>
      <w:rFonts w:ascii="Times New Roman" w:eastAsia="Times New Roman" w:hAnsi="Times New Roman" w:cs="Times New Roman"/>
      <w:b/>
      <w:sz w:val="32"/>
      <w:szCs w:val="20"/>
      <w:lang w:eastAsia="en-US"/>
    </w:rPr>
  </w:style>
  <w:style w:type="paragraph" w:styleId="BodyText">
    <w:name w:val="Body Text"/>
    <w:basedOn w:val="Normal"/>
    <w:link w:val="BodyTextChar"/>
    <w:rsid w:val="00E60F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FBC"/>
    <w:rPr>
      <w:rFonts w:ascii="Times New Roman" w:eastAsia="Times New Roman" w:hAnsi="Times New Roman" w:cs="Times New Roman"/>
      <w:sz w:val="24"/>
      <w:lang w:eastAsia="en-US"/>
    </w:rPr>
  </w:style>
  <w:style w:type="character" w:customStyle="1" w:styleId="SpecialBold">
    <w:name w:val="Special Bold"/>
    <w:basedOn w:val="DefaultParagraphFont"/>
    <w:rsid w:val="00E60FBC"/>
    <w:rPr>
      <w:b/>
      <w:spacing w:val="0"/>
    </w:rPr>
  </w:style>
  <w:style w:type="paragraph" w:customStyle="1" w:styleId="SuperHeading">
    <w:name w:val="SuperHeading"/>
    <w:basedOn w:val="Normal"/>
    <w:rsid w:val="00E60FBC"/>
    <w:pPr>
      <w:spacing w:before="240" w:after="120"/>
      <w:outlineLvl w:val="0"/>
    </w:pPr>
    <w:rPr>
      <w:rFonts w:ascii="Times New Roman" w:hAnsi="Times New Roman"/>
      <w:b/>
      <w:sz w:val="32"/>
    </w:rPr>
  </w:style>
  <w:style w:type="paragraph" w:customStyle="1" w:styleId="AllowPageBreak">
    <w:name w:val="AllowPageBreak"/>
    <w:rsid w:val="00E60F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0F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F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F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F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F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F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F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FBC"/>
    <w:rPr>
      <w:rFonts w:ascii="Courier New" w:eastAsia="Times New Roman" w:hAnsi="Courier New" w:cs="Times New Roman"/>
      <w:i/>
      <w:szCs w:val="20"/>
      <w:lang w:eastAsia="en-US"/>
    </w:rPr>
  </w:style>
  <w:style w:type="paragraph" w:customStyle="1" w:styleId="HeadingBase">
    <w:name w:val="Heading Base"/>
    <w:rsid w:val="00E60F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FBC"/>
    <w:pPr>
      <w:tabs>
        <w:tab w:val="right" w:leader="dot" w:pos="9072"/>
      </w:tabs>
      <w:ind w:left="567"/>
    </w:pPr>
    <w:rPr>
      <w:szCs w:val="22"/>
    </w:rPr>
  </w:style>
  <w:style w:type="paragraph" w:customStyle="1" w:styleId="TOCBase">
    <w:name w:val="TOC Base"/>
    <w:rsid w:val="00E60F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FBC"/>
    <w:pPr>
      <w:tabs>
        <w:tab w:val="right" w:leader="dot" w:pos="9072"/>
      </w:tabs>
      <w:spacing w:before="40" w:after="40"/>
      <w:ind w:left="284"/>
    </w:pPr>
    <w:rPr>
      <w:rFonts w:ascii="Times New Roman" w:hAnsi="Times New Roman"/>
    </w:rPr>
  </w:style>
  <w:style w:type="paragraph" w:styleId="TOC1">
    <w:name w:val="toc 1"/>
    <w:basedOn w:val="TOCBase"/>
    <w:next w:val="Normal"/>
    <w:rsid w:val="00E60F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F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FBC"/>
    <w:rPr>
      <w:rFonts w:ascii="Times New Roman" w:eastAsia="Times New Roman" w:hAnsi="Times New Roman" w:cs="Times New Roman"/>
      <w:sz w:val="16"/>
      <w:lang w:eastAsia="en-US"/>
    </w:rPr>
  </w:style>
  <w:style w:type="paragraph" w:styleId="Title">
    <w:name w:val="Title"/>
    <w:basedOn w:val="HeadingBase"/>
    <w:link w:val="TitleChar"/>
    <w:qFormat/>
    <w:rsid w:val="00E60FBC"/>
    <w:pPr>
      <w:spacing w:before="5040"/>
      <w:jc w:val="center"/>
    </w:pPr>
    <w:rPr>
      <w:sz w:val="48"/>
      <w:szCs w:val="72"/>
      <w:lang w:val="en-US"/>
    </w:rPr>
  </w:style>
  <w:style w:type="character" w:customStyle="1" w:styleId="TitleChar">
    <w:name w:val="Title Char"/>
    <w:basedOn w:val="DefaultParagraphFont"/>
    <w:link w:val="Title"/>
    <w:rsid w:val="00E60F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FBC"/>
    <w:pPr>
      <w:tabs>
        <w:tab w:val="left" w:pos="3600"/>
        <w:tab w:val="left" w:pos="3958"/>
      </w:tabs>
    </w:pPr>
  </w:style>
  <w:style w:type="paragraph" w:styleId="List">
    <w:name w:val="List"/>
    <w:basedOn w:val="BodyText"/>
    <w:next w:val="BodyText"/>
    <w:rsid w:val="00E60FBC"/>
    <w:pPr>
      <w:tabs>
        <w:tab w:val="left" w:pos="340"/>
      </w:tabs>
      <w:spacing w:before="60" w:after="60"/>
      <w:ind w:left="340" w:hanging="340"/>
    </w:pPr>
  </w:style>
  <w:style w:type="paragraph" w:styleId="ListBullet">
    <w:name w:val="List Bullet"/>
    <w:basedOn w:val="List"/>
    <w:rsid w:val="00E60FBC"/>
    <w:pPr>
      <w:numPr>
        <w:numId w:val="10"/>
      </w:numPr>
      <w:tabs>
        <w:tab w:val="clear" w:pos="340"/>
      </w:tabs>
      <w:spacing w:before="40" w:after="40"/>
    </w:pPr>
  </w:style>
  <w:style w:type="paragraph" w:customStyle="1" w:styleId="Note">
    <w:name w:val="Note"/>
    <w:basedOn w:val="BodyText"/>
    <w:rsid w:val="00E60F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FBC"/>
    <w:pPr>
      <w:framePr w:wrap="auto" w:hAnchor="text" w:y="6049"/>
    </w:pPr>
    <w:rPr>
      <w:color w:val="000000"/>
      <w:sz w:val="40"/>
    </w:rPr>
  </w:style>
  <w:style w:type="paragraph" w:customStyle="1" w:styleId="TOCTitle">
    <w:name w:val="TOCTitle"/>
    <w:basedOn w:val="Heading1"/>
    <w:rsid w:val="00E60FBC"/>
    <w:pPr>
      <w:spacing w:after="240"/>
      <w:jc w:val="center"/>
      <w:outlineLvl w:val="9"/>
    </w:pPr>
    <w:rPr>
      <w:caps/>
    </w:rPr>
  </w:style>
  <w:style w:type="paragraph" w:customStyle="1" w:styleId="Version">
    <w:name w:val="Version"/>
    <w:rsid w:val="00E60F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FBC"/>
    <w:pPr>
      <w:numPr>
        <w:numId w:val="11"/>
      </w:numPr>
      <w:tabs>
        <w:tab w:val="clear" w:pos="680"/>
      </w:tabs>
    </w:pPr>
  </w:style>
  <w:style w:type="paragraph" w:styleId="Index1">
    <w:name w:val="index 1"/>
    <w:basedOn w:val="Normal"/>
    <w:next w:val="Normal"/>
    <w:semiHidden/>
    <w:rsid w:val="00E60FBC"/>
    <w:pPr>
      <w:keepNext w:val="0"/>
      <w:tabs>
        <w:tab w:val="right" w:pos="4176"/>
      </w:tabs>
      <w:ind w:left="198" w:hanging="198"/>
    </w:pPr>
    <w:rPr>
      <w:rFonts w:ascii="Garamond" w:hAnsi="Garamond"/>
    </w:rPr>
  </w:style>
  <w:style w:type="paragraph" w:styleId="IndexHeading">
    <w:name w:val="index heading"/>
    <w:basedOn w:val="Normal"/>
    <w:next w:val="Index1"/>
    <w:semiHidden/>
    <w:rsid w:val="00E60FBC"/>
    <w:pPr>
      <w:spacing w:before="120" w:after="120"/>
    </w:pPr>
    <w:rPr>
      <w:rFonts w:ascii="Arial" w:hAnsi="Arial"/>
      <w:b/>
      <w:color w:val="918585"/>
      <w:sz w:val="24"/>
    </w:rPr>
  </w:style>
  <w:style w:type="paragraph" w:styleId="Header">
    <w:name w:val="header"/>
    <w:basedOn w:val="Normal"/>
    <w:link w:val="HeaderChar"/>
    <w:rsid w:val="00E60F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FBC"/>
    <w:rPr>
      <w:rFonts w:ascii="Times New Roman" w:eastAsia="Times New Roman" w:hAnsi="Times New Roman" w:cs="Times New Roman"/>
      <w:sz w:val="16"/>
      <w:szCs w:val="20"/>
      <w:lang w:val="en-GB" w:eastAsia="en-US"/>
    </w:rPr>
  </w:style>
  <w:style w:type="paragraph" w:customStyle="1" w:styleId="Chapter">
    <w:name w:val="Chapter"/>
    <w:basedOn w:val="Normal"/>
    <w:rsid w:val="00E60FBC"/>
    <w:pPr>
      <w:spacing w:before="240"/>
    </w:pPr>
    <w:rPr>
      <w:rFonts w:ascii="Times New Roman" w:hAnsi="Times New Roman"/>
      <w:smallCaps/>
      <w:spacing w:val="80"/>
      <w:sz w:val="28"/>
    </w:rPr>
  </w:style>
  <w:style w:type="paragraph" w:customStyle="1" w:styleId="InChapter">
    <w:name w:val="InChapter"/>
    <w:basedOn w:val="Heading3"/>
    <w:rsid w:val="00E60FBC"/>
    <w:pPr>
      <w:spacing w:after="240"/>
      <w:outlineLvl w:val="9"/>
    </w:pPr>
    <w:rPr>
      <w:noProof/>
    </w:rPr>
  </w:style>
  <w:style w:type="paragraph" w:styleId="Index2">
    <w:name w:val="index 2"/>
    <w:basedOn w:val="Normal"/>
    <w:next w:val="Normal"/>
    <w:semiHidden/>
    <w:rsid w:val="00E60FBC"/>
    <w:pPr>
      <w:tabs>
        <w:tab w:val="right" w:pos="4176"/>
      </w:tabs>
      <w:ind w:left="568" w:hanging="284"/>
    </w:pPr>
    <w:rPr>
      <w:rFonts w:ascii="Garamond" w:hAnsi="Garamond"/>
    </w:rPr>
  </w:style>
  <w:style w:type="paragraph" w:customStyle="1" w:styleId="Byline">
    <w:name w:val="Byline"/>
    <w:rsid w:val="00E60F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FBC"/>
    <w:pPr>
      <w:tabs>
        <w:tab w:val="clear" w:pos="3600"/>
        <w:tab w:val="clear" w:pos="3958"/>
      </w:tabs>
      <w:jc w:val="right"/>
    </w:pPr>
  </w:style>
  <w:style w:type="character" w:styleId="Emphasis">
    <w:name w:val="Emphasis"/>
    <w:basedOn w:val="DefaultParagraphFont"/>
    <w:qFormat/>
    <w:rsid w:val="00E60FBC"/>
    <w:rPr>
      <w:i/>
    </w:rPr>
  </w:style>
  <w:style w:type="paragraph" w:styleId="Caption">
    <w:name w:val="caption"/>
    <w:basedOn w:val="BodyText"/>
    <w:next w:val="Normal"/>
    <w:qFormat/>
    <w:rsid w:val="00E60FBC"/>
    <w:pPr>
      <w:framePr w:w="2268" w:hSpace="181" w:vSpace="181" w:wrap="around" w:vAnchor="text" w:hAnchor="page" w:x="1135" w:y="285" w:anchorLock="1"/>
    </w:pPr>
    <w:rPr>
      <w:i/>
    </w:rPr>
  </w:style>
  <w:style w:type="paragraph" w:customStyle="1" w:styleId="MiniTOCTitle">
    <w:name w:val="MiniTOCTitle"/>
    <w:basedOn w:val="Heading4"/>
    <w:rsid w:val="00E60FBC"/>
    <w:pPr>
      <w:spacing w:before="240"/>
      <w:outlineLvl w:val="9"/>
    </w:pPr>
    <w:rPr>
      <w:noProof/>
      <w:sz w:val="24"/>
    </w:rPr>
  </w:style>
  <w:style w:type="paragraph" w:customStyle="1" w:styleId="MiniTOCItem">
    <w:name w:val="MiniTOCItem"/>
    <w:basedOn w:val="ListBullet"/>
    <w:rsid w:val="00E60FBC"/>
    <w:pPr>
      <w:numPr>
        <w:numId w:val="0"/>
      </w:numPr>
      <w:tabs>
        <w:tab w:val="right" w:leader="dot" w:pos="6521"/>
      </w:tabs>
      <w:spacing w:before="0" w:after="0"/>
    </w:pPr>
  </w:style>
  <w:style w:type="paragraph" w:customStyle="1" w:styleId="TOFTitle">
    <w:name w:val="TOFTitle"/>
    <w:basedOn w:val="TOCTitle"/>
    <w:rsid w:val="00E60FBC"/>
  </w:style>
  <w:style w:type="paragraph" w:styleId="TableofFigures">
    <w:name w:val="table of figures"/>
    <w:basedOn w:val="Normal"/>
    <w:next w:val="Normal"/>
    <w:semiHidden/>
    <w:rsid w:val="00E60FBC"/>
    <w:pPr>
      <w:tabs>
        <w:tab w:val="right" w:leader="dot" w:pos="9072"/>
      </w:tabs>
      <w:ind w:left="970" w:hanging="403"/>
    </w:pPr>
    <w:rPr>
      <w:rFonts w:ascii="Times New Roman" w:hAnsi="Times New Roman"/>
      <w:b/>
    </w:rPr>
  </w:style>
  <w:style w:type="paragraph" w:styleId="ListNumber">
    <w:name w:val="List Number"/>
    <w:basedOn w:val="List"/>
    <w:rsid w:val="00E60FBC"/>
    <w:pPr>
      <w:numPr>
        <w:numId w:val="13"/>
      </w:numPr>
      <w:tabs>
        <w:tab w:val="clear" w:pos="340"/>
      </w:tabs>
    </w:pPr>
  </w:style>
  <w:style w:type="character" w:customStyle="1" w:styleId="WingdingSymbols">
    <w:name w:val="Wingding Symbols"/>
    <w:rsid w:val="00E60FBC"/>
    <w:rPr>
      <w:rFonts w:ascii="Wingdings" w:hAnsi="Wingdings"/>
    </w:rPr>
  </w:style>
  <w:style w:type="paragraph" w:customStyle="1" w:styleId="TableHeading">
    <w:name w:val="Table Heading"/>
    <w:basedOn w:val="HeadingBase"/>
    <w:rsid w:val="00E60FBC"/>
    <w:pPr>
      <w:keepLines/>
      <w:pBdr>
        <w:bottom w:val="single" w:sz="6" w:space="1" w:color="918585"/>
      </w:pBdr>
      <w:spacing w:before="240"/>
    </w:pPr>
  </w:style>
  <w:style w:type="character" w:customStyle="1" w:styleId="HotSpot">
    <w:name w:val="HotSpot"/>
    <w:rsid w:val="00E60FBC"/>
    <w:rPr>
      <w:color w:val="0033CC"/>
      <w:u w:val="none"/>
    </w:rPr>
  </w:style>
  <w:style w:type="paragraph" w:customStyle="1" w:styleId="BodyTextRight">
    <w:name w:val="Body Text Right"/>
    <w:basedOn w:val="BodyText"/>
    <w:rsid w:val="00E60FBC"/>
    <w:pPr>
      <w:spacing w:before="0" w:after="0"/>
      <w:jc w:val="right"/>
    </w:pPr>
  </w:style>
  <w:style w:type="paragraph" w:styleId="Index3">
    <w:name w:val="index 3"/>
    <w:basedOn w:val="ListNumber2"/>
    <w:next w:val="Normal"/>
    <w:semiHidden/>
    <w:rsid w:val="00E60FBC"/>
    <w:pPr>
      <w:numPr>
        <w:numId w:val="0"/>
      </w:numPr>
      <w:tabs>
        <w:tab w:val="right" w:leader="dot" w:pos="4176"/>
      </w:tabs>
    </w:pPr>
  </w:style>
  <w:style w:type="paragraph" w:styleId="ListNumber2">
    <w:name w:val="List Number 2"/>
    <w:basedOn w:val="List2"/>
    <w:rsid w:val="00E60FBC"/>
    <w:pPr>
      <w:numPr>
        <w:numId w:val="8"/>
      </w:numPr>
      <w:tabs>
        <w:tab w:val="clear" w:pos="1060"/>
      </w:tabs>
    </w:pPr>
  </w:style>
  <w:style w:type="paragraph" w:customStyle="1" w:styleId="MarginNote">
    <w:name w:val="Margin Note"/>
    <w:basedOn w:val="BodyText"/>
    <w:rsid w:val="00E60F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F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F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FBC"/>
    <w:rPr>
      <w:sz w:val="32"/>
    </w:rPr>
  </w:style>
  <w:style w:type="paragraph" w:customStyle="1" w:styleId="HeadingProcedure">
    <w:name w:val="Heading Procedure"/>
    <w:basedOn w:val="HeadingBase"/>
    <w:next w:val="Normal"/>
    <w:rsid w:val="00E60FBC"/>
    <w:pPr>
      <w:tabs>
        <w:tab w:val="left" w:pos="0"/>
      </w:tabs>
      <w:spacing w:before="120" w:after="60"/>
    </w:pPr>
    <w:rPr>
      <w:i/>
      <w:color w:val="918585"/>
      <w:sz w:val="22"/>
    </w:rPr>
  </w:style>
  <w:style w:type="paragraph" w:customStyle="1" w:styleId="TableBodyText">
    <w:name w:val="Table Body Text"/>
    <w:basedOn w:val="BodyText"/>
    <w:rsid w:val="00E60FBC"/>
    <w:pPr>
      <w:spacing w:before="60" w:after="60"/>
    </w:pPr>
  </w:style>
  <w:style w:type="paragraph" w:styleId="ListContinue">
    <w:name w:val="List Continue"/>
    <w:basedOn w:val="List"/>
    <w:rsid w:val="00E60FBC"/>
    <w:pPr>
      <w:ind w:firstLine="0"/>
    </w:pPr>
  </w:style>
  <w:style w:type="paragraph" w:customStyle="1" w:styleId="ListNote">
    <w:name w:val="List Note"/>
    <w:basedOn w:val="List"/>
    <w:rsid w:val="00E60FBC"/>
    <w:pPr>
      <w:pBdr>
        <w:top w:val="single" w:sz="6" w:space="2" w:color="918585"/>
        <w:bottom w:val="single" w:sz="6" w:space="2" w:color="918585"/>
      </w:pBdr>
      <w:tabs>
        <w:tab w:val="left" w:pos="1021"/>
      </w:tabs>
      <w:ind w:firstLine="0"/>
    </w:pPr>
  </w:style>
  <w:style w:type="paragraph" w:customStyle="1" w:styleId="Warning">
    <w:name w:val="Warning"/>
    <w:basedOn w:val="BodyText"/>
    <w:rsid w:val="00E60FBC"/>
    <w:pPr>
      <w:shd w:val="clear" w:color="auto" w:fill="D9D9D9"/>
      <w:tabs>
        <w:tab w:val="left" w:pos="992"/>
      </w:tabs>
      <w:ind w:left="119" w:right="119"/>
    </w:pPr>
    <w:rPr>
      <w:sz w:val="20"/>
    </w:rPr>
  </w:style>
  <w:style w:type="paragraph" w:customStyle="1" w:styleId="MarginIcons">
    <w:name w:val="Margin Icons"/>
    <w:basedOn w:val="BodyText"/>
    <w:rsid w:val="00E60F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FBC"/>
    <w:rPr>
      <w:rFonts w:ascii="Courier New" w:hAnsi="Courier New"/>
    </w:rPr>
  </w:style>
  <w:style w:type="paragraph" w:customStyle="1" w:styleId="NoteBullet">
    <w:name w:val="Note Bullet"/>
    <w:basedOn w:val="Note"/>
    <w:rsid w:val="00E60FBC"/>
    <w:pPr>
      <w:tabs>
        <w:tab w:val="clear" w:pos="680"/>
      </w:tabs>
      <w:spacing w:before="60" w:after="60"/>
    </w:pPr>
  </w:style>
  <w:style w:type="paragraph" w:customStyle="1" w:styleId="SubHeading2">
    <w:name w:val="SubHeading2"/>
    <w:basedOn w:val="HeadingBase"/>
    <w:rsid w:val="00E60FBC"/>
    <w:pPr>
      <w:spacing w:before="240" w:after="60"/>
    </w:pPr>
    <w:rPr>
      <w:sz w:val="20"/>
    </w:rPr>
  </w:style>
  <w:style w:type="paragraph" w:customStyle="1" w:styleId="SubHeading1">
    <w:name w:val="SubHeading1"/>
    <w:basedOn w:val="HeadingBase"/>
    <w:rsid w:val="00E60FBC"/>
    <w:pPr>
      <w:spacing w:before="240" w:after="60"/>
    </w:pPr>
    <w:rPr>
      <w:color w:val="918585"/>
      <w:sz w:val="22"/>
    </w:rPr>
  </w:style>
  <w:style w:type="paragraph" w:customStyle="1" w:styleId="SideHeading">
    <w:name w:val="Side Heading"/>
    <w:basedOn w:val="HeadingBase"/>
    <w:rsid w:val="00E60F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FBC"/>
    <w:pPr>
      <w:numPr>
        <w:numId w:val="9"/>
      </w:numPr>
    </w:pPr>
  </w:style>
  <w:style w:type="paragraph" w:styleId="PlainText">
    <w:name w:val="Plain Text"/>
    <w:basedOn w:val="Normal"/>
    <w:link w:val="PlainTextChar"/>
    <w:rsid w:val="00E60FBC"/>
    <w:rPr>
      <w:sz w:val="20"/>
    </w:rPr>
  </w:style>
  <w:style w:type="character" w:customStyle="1" w:styleId="PlainTextChar">
    <w:name w:val="Plain Text Char"/>
    <w:basedOn w:val="DefaultParagraphFont"/>
    <w:link w:val="PlainText"/>
    <w:rsid w:val="00E60FBC"/>
    <w:rPr>
      <w:rFonts w:ascii="Courier New" w:eastAsia="Times New Roman" w:hAnsi="Courier New" w:cs="Times New Roman"/>
      <w:sz w:val="20"/>
      <w:szCs w:val="20"/>
      <w:lang w:eastAsia="en-US"/>
    </w:rPr>
  </w:style>
  <w:style w:type="character" w:customStyle="1" w:styleId="MenuOption">
    <w:name w:val="Menu Option"/>
    <w:basedOn w:val="DefaultParagraphFont"/>
    <w:rsid w:val="00E60FBC"/>
    <w:rPr>
      <w:b/>
      <w:smallCaps/>
    </w:rPr>
  </w:style>
  <w:style w:type="paragraph" w:customStyle="1" w:styleId="TableListNumber">
    <w:name w:val="Table List Number"/>
    <w:basedOn w:val="ListNumber"/>
    <w:rsid w:val="00E60FBC"/>
    <w:pPr>
      <w:numPr>
        <w:numId w:val="0"/>
      </w:numPr>
    </w:pPr>
  </w:style>
  <w:style w:type="paragraph" w:styleId="TOC4">
    <w:name w:val="toc 4"/>
    <w:basedOn w:val="TOCBase"/>
    <w:next w:val="Normal"/>
    <w:semiHidden/>
    <w:rsid w:val="00E60FBC"/>
    <w:pPr>
      <w:tabs>
        <w:tab w:val="right" w:leader="dot" w:pos="9071"/>
      </w:tabs>
      <w:ind w:left="1701"/>
    </w:pPr>
  </w:style>
  <w:style w:type="paragraph" w:customStyle="1" w:styleId="ListAlpha">
    <w:name w:val="List Alpha"/>
    <w:basedOn w:val="List"/>
    <w:rsid w:val="00E60FBC"/>
    <w:pPr>
      <w:numPr>
        <w:numId w:val="7"/>
      </w:numPr>
    </w:pPr>
  </w:style>
  <w:style w:type="paragraph" w:customStyle="1" w:styleId="ListAlpha2">
    <w:name w:val="List Alpha 2"/>
    <w:basedOn w:val="List2"/>
    <w:rsid w:val="00E60FBC"/>
    <w:pPr>
      <w:numPr>
        <w:numId w:val="6"/>
      </w:numPr>
    </w:pPr>
  </w:style>
  <w:style w:type="paragraph" w:styleId="List2">
    <w:name w:val="List 2"/>
    <w:basedOn w:val="BodyText"/>
    <w:rsid w:val="00E60FBC"/>
    <w:pPr>
      <w:tabs>
        <w:tab w:val="left" w:pos="680"/>
      </w:tabs>
      <w:spacing w:before="60" w:after="60"/>
      <w:ind w:left="680" w:hanging="340"/>
    </w:pPr>
  </w:style>
  <w:style w:type="paragraph" w:styleId="List3">
    <w:name w:val="List 3"/>
    <w:basedOn w:val="BodyText"/>
    <w:rsid w:val="00E60FBC"/>
    <w:pPr>
      <w:tabs>
        <w:tab w:val="left" w:pos="1021"/>
      </w:tabs>
      <w:spacing w:before="60" w:after="60"/>
      <w:ind w:left="1020" w:hanging="340"/>
    </w:pPr>
  </w:style>
  <w:style w:type="paragraph" w:styleId="List4">
    <w:name w:val="List 4"/>
    <w:basedOn w:val="BodyText"/>
    <w:rsid w:val="00E60FBC"/>
    <w:pPr>
      <w:tabs>
        <w:tab w:val="left" w:pos="1361"/>
      </w:tabs>
      <w:spacing w:before="60" w:after="60"/>
      <w:ind w:left="1361" w:hanging="340"/>
    </w:pPr>
  </w:style>
  <w:style w:type="paragraph" w:styleId="List5">
    <w:name w:val="List 5"/>
    <w:basedOn w:val="BodyText"/>
    <w:rsid w:val="00E60FBC"/>
    <w:pPr>
      <w:tabs>
        <w:tab w:val="left" w:pos="1701"/>
      </w:tabs>
      <w:spacing w:before="60" w:after="60"/>
      <w:ind w:left="1701" w:hanging="340"/>
    </w:pPr>
  </w:style>
  <w:style w:type="paragraph" w:styleId="ListBullet3">
    <w:name w:val="List Bullet 3"/>
    <w:basedOn w:val="List3"/>
    <w:rsid w:val="00E60FBC"/>
    <w:pPr>
      <w:numPr>
        <w:numId w:val="12"/>
      </w:numPr>
      <w:tabs>
        <w:tab w:val="clear" w:pos="1021"/>
      </w:tabs>
      <w:ind w:left="1037" w:hanging="357"/>
    </w:pPr>
  </w:style>
  <w:style w:type="paragraph" w:styleId="ListBullet4">
    <w:name w:val="List Bullet 4"/>
    <w:basedOn w:val="List4"/>
    <w:rsid w:val="00E60FBC"/>
    <w:pPr>
      <w:numPr>
        <w:numId w:val="1"/>
      </w:numPr>
      <w:tabs>
        <w:tab w:val="clear" w:pos="1361"/>
      </w:tabs>
    </w:pPr>
  </w:style>
  <w:style w:type="paragraph" w:styleId="ListBullet5">
    <w:name w:val="List Bullet 5"/>
    <w:basedOn w:val="List5"/>
    <w:rsid w:val="00E60FBC"/>
    <w:pPr>
      <w:numPr>
        <w:numId w:val="2"/>
      </w:numPr>
    </w:pPr>
  </w:style>
  <w:style w:type="paragraph" w:styleId="ListContinue2">
    <w:name w:val="List Continue 2"/>
    <w:basedOn w:val="List2"/>
    <w:rsid w:val="00E60FBC"/>
    <w:pPr>
      <w:ind w:firstLine="0"/>
    </w:pPr>
  </w:style>
  <w:style w:type="paragraph" w:styleId="ListContinue3">
    <w:name w:val="List Continue 3"/>
    <w:basedOn w:val="List3"/>
    <w:rsid w:val="00E60FBC"/>
    <w:pPr>
      <w:ind w:left="1021" w:firstLine="0"/>
    </w:pPr>
  </w:style>
  <w:style w:type="paragraph" w:styleId="ListContinue4">
    <w:name w:val="List Continue 4"/>
    <w:basedOn w:val="List4"/>
    <w:rsid w:val="00E60FBC"/>
    <w:pPr>
      <w:ind w:firstLine="0"/>
    </w:pPr>
  </w:style>
  <w:style w:type="paragraph" w:styleId="ListContinue5">
    <w:name w:val="List Continue 5"/>
    <w:basedOn w:val="List5"/>
    <w:rsid w:val="00E60FBC"/>
    <w:pPr>
      <w:ind w:firstLine="0"/>
    </w:pPr>
  </w:style>
  <w:style w:type="paragraph" w:styleId="ListNumber3">
    <w:name w:val="List Number 3"/>
    <w:basedOn w:val="List3"/>
    <w:rsid w:val="00E60FBC"/>
    <w:pPr>
      <w:numPr>
        <w:numId w:val="3"/>
      </w:numPr>
    </w:pPr>
  </w:style>
  <w:style w:type="paragraph" w:styleId="ListNumber4">
    <w:name w:val="List Number 4"/>
    <w:basedOn w:val="List4"/>
    <w:rsid w:val="00E60FBC"/>
    <w:pPr>
      <w:numPr>
        <w:numId w:val="4"/>
      </w:numPr>
    </w:pPr>
  </w:style>
  <w:style w:type="paragraph" w:styleId="ListNumber5">
    <w:name w:val="List Number 5"/>
    <w:basedOn w:val="List5"/>
    <w:rsid w:val="00E60FBC"/>
    <w:pPr>
      <w:numPr>
        <w:numId w:val="5"/>
      </w:numPr>
    </w:pPr>
  </w:style>
  <w:style w:type="paragraph" w:styleId="BlockText">
    <w:name w:val="Block Text"/>
    <w:basedOn w:val="Normal"/>
    <w:rsid w:val="00E60FBC"/>
    <w:pPr>
      <w:spacing w:after="120"/>
      <w:ind w:left="1440" w:right="1440"/>
    </w:pPr>
  </w:style>
  <w:style w:type="character" w:customStyle="1" w:styleId="Subscript">
    <w:name w:val="Subscript"/>
    <w:basedOn w:val="DefaultParagraphFont"/>
    <w:rsid w:val="00E60FBC"/>
    <w:rPr>
      <w:sz w:val="16"/>
      <w:vertAlign w:val="subscript"/>
    </w:rPr>
  </w:style>
  <w:style w:type="character" w:customStyle="1" w:styleId="Superscript">
    <w:name w:val="Superscript"/>
    <w:basedOn w:val="DefaultParagraphFont"/>
    <w:rsid w:val="00E60FBC"/>
    <w:rPr>
      <w:sz w:val="16"/>
      <w:vertAlign w:val="superscript"/>
    </w:rPr>
  </w:style>
  <w:style w:type="character" w:customStyle="1" w:styleId="Symbols">
    <w:name w:val="Symbols"/>
    <w:basedOn w:val="DefaultParagraphFont"/>
    <w:rsid w:val="00E60FBC"/>
    <w:rPr>
      <w:rFonts w:ascii="Symbol" w:hAnsi="Symbol"/>
    </w:rPr>
  </w:style>
  <w:style w:type="character" w:customStyle="1" w:styleId="MenuOptions">
    <w:name w:val="Menu Options"/>
    <w:basedOn w:val="DefaultParagraphFont"/>
    <w:rsid w:val="00E60FBC"/>
    <w:rPr>
      <w:rFonts w:ascii="Arial Narrow" w:hAnsi="Arial Narrow"/>
      <w:smallCaps/>
    </w:rPr>
  </w:style>
  <w:style w:type="character" w:customStyle="1" w:styleId="Buttons">
    <w:name w:val="Buttons"/>
    <w:basedOn w:val="DefaultParagraphFont"/>
    <w:rsid w:val="00E60FBC"/>
    <w:rPr>
      <w:b/>
    </w:rPr>
  </w:style>
  <w:style w:type="character" w:customStyle="1" w:styleId="Underlined">
    <w:name w:val="Underlined"/>
    <w:basedOn w:val="DefaultParagraphFont"/>
    <w:rsid w:val="00E60FBC"/>
    <w:rPr>
      <w:u w:val="single"/>
    </w:rPr>
  </w:style>
  <w:style w:type="paragraph" w:customStyle="1" w:styleId="TableBodyTextRight">
    <w:name w:val="Table Body Text Right"/>
    <w:basedOn w:val="TableBodyText"/>
    <w:rsid w:val="00E60FBC"/>
    <w:pPr>
      <w:widowControl w:val="0"/>
      <w:autoSpaceDE w:val="0"/>
      <w:autoSpaceDN w:val="0"/>
      <w:adjustRightInd w:val="0"/>
      <w:jc w:val="right"/>
    </w:pPr>
    <w:rPr>
      <w:rFonts w:cs="Arial"/>
      <w:szCs w:val="18"/>
    </w:rPr>
  </w:style>
  <w:style w:type="paragraph" w:customStyle="1" w:styleId="CopyrightText">
    <w:name w:val="Copyright Text"/>
    <w:basedOn w:val="BodyText"/>
    <w:rsid w:val="00E60FBC"/>
    <w:rPr>
      <w:sz w:val="18"/>
    </w:rPr>
  </w:style>
  <w:style w:type="paragraph" w:customStyle="1" w:styleId="BodySmallRight">
    <w:name w:val="Body Small Right"/>
    <w:basedOn w:val="BodyTextRight"/>
    <w:rsid w:val="00E60FBC"/>
    <w:rPr>
      <w:sz w:val="18"/>
      <w:szCs w:val="18"/>
    </w:rPr>
  </w:style>
  <w:style w:type="paragraph" w:customStyle="1" w:styleId="MarginEdition">
    <w:name w:val="Margin Edition"/>
    <w:basedOn w:val="MarginNote"/>
    <w:rsid w:val="00E60FBC"/>
    <w:pPr>
      <w:spacing w:before="0" w:after="0"/>
    </w:pPr>
    <w:rPr>
      <w:rFonts w:ascii="Times New Roman" w:hAnsi="Times New Roman"/>
      <w:color w:val="999999"/>
    </w:rPr>
  </w:style>
  <w:style w:type="paragraph" w:customStyle="1" w:styleId="Spacer">
    <w:name w:val="Spacer"/>
    <w:basedOn w:val="Normal"/>
    <w:rsid w:val="00E60FBC"/>
    <w:rPr>
      <w:sz w:val="2"/>
      <w:szCs w:val="2"/>
    </w:rPr>
  </w:style>
  <w:style w:type="character" w:customStyle="1" w:styleId="Small">
    <w:name w:val="Small"/>
    <w:basedOn w:val="DefaultParagraphFont"/>
    <w:rsid w:val="00E60FBC"/>
    <w:rPr>
      <w:sz w:val="16"/>
    </w:rPr>
  </w:style>
  <w:style w:type="paragraph" w:customStyle="1" w:styleId="WideTable">
    <w:name w:val="Wide Table"/>
    <w:basedOn w:val="Normal"/>
    <w:rsid w:val="00E60FBC"/>
    <w:pPr>
      <w:ind w:left="-1418"/>
    </w:pPr>
    <w:rPr>
      <w:sz w:val="2"/>
      <w:szCs w:val="2"/>
    </w:rPr>
  </w:style>
  <w:style w:type="character" w:styleId="PageNumber">
    <w:name w:val="page number"/>
    <w:basedOn w:val="DefaultParagraphFont"/>
    <w:rsid w:val="00E60FBC"/>
  </w:style>
  <w:style w:type="paragraph" w:styleId="Quote">
    <w:name w:val="Quote"/>
    <w:basedOn w:val="Heading1"/>
    <w:link w:val="QuoteChar"/>
    <w:qFormat/>
    <w:rsid w:val="00E60FBC"/>
    <w:rPr>
      <w:b w:val="0"/>
      <w:sz w:val="72"/>
      <w:szCs w:val="72"/>
      <w:lang w:val="en-NZ"/>
    </w:rPr>
  </w:style>
  <w:style w:type="character" w:customStyle="1" w:styleId="QuoteChar">
    <w:name w:val="Quote Char"/>
    <w:basedOn w:val="DefaultParagraphFont"/>
    <w:link w:val="Quote"/>
    <w:rsid w:val="00E60F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FBC"/>
    <w:pPr>
      <w:pageBreakBefore/>
    </w:pPr>
  </w:style>
  <w:style w:type="paragraph" w:customStyle="1" w:styleId="Border">
    <w:name w:val="Border"/>
    <w:basedOn w:val="Normal"/>
    <w:qFormat/>
    <w:rsid w:val="00E60F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FBC"/>
    <w:rPr>
      <w:b/>
      <w:bCs/>
      <w:i/>
      <w:iCs/>
      <w:color w:val="auto"/>
    </w:rPr>
  </w:style>
  <w:style w:type="paragraph" w:styleId="IntenseQuote">
    <w:name w:val="Intense Quote"/>
    <w:basedOn w:val="Normal"/>
    <w:next w:val="Normal"/>
    <w:link w:val="IntenseQuoteChar"/>
    <w:uiPriority w:val="30"/>
    <w:qFormat/>
    <w:rsid w:val="00E60F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F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FBC"/>
    <w:rPr>
      <w:smallCaps/>
      <w:color w:val="auto"/>
      <w:u w:val="single"/>
    </w:rPr>
  </w:style>
  <w:style w:type="character" w:styleId="IntenseReference">
    <w:name w:val="Intense Reference"/>
    <w:basedOn w:val="DefaultParagraphFont"/>
    <w:uiPriority w:val="32"/>
    <w:qFormat/>
    <w:rsid w:val="00E60FBC"/>
    <w:rPr>
      <w:b/>
      <w:bCs/>
      <w:smallCaps/>
      <w:color w:val="auto"/>
      <w:spacing w:val="5"/>
      <w:u w:val="single"/>
    </w:rPr>
  </w:style>
  <w:style w:type="paragraph" w:customStyle="1" w:styleId="2ColumnHeading">
    <w:name w:val="2Column Heading"/>
    <w:basedOn w:val="BodyText"/>
    <w:qFormat/>
    <w:rsid w:val="00E60FBC"/>
    <w:pPr>
      <w:spacing w:after="60"/>
      <w:ind w:left="-2268"/>
    </w:pPr>
    <w:rPr>
      <w:b/>
    </w:rPr>
  </w:style>
  <w:style w:type="paragraph" w:customStyle="1" w:styleId="Heading1TOC">
    <w:name w:val="Heading1 TOC"/>
    <w:basedOn w:val="Normal"/>
    <w:qFormat/>
    <w:rsid w:val="00E60FBC"/>
    <w:pPr>
      <w:spacing w:before="240" w:after="120"/>
    </w:pPr>
    <w:rPr>
      <w:rFonts w:ascii="Times New Roman" w:hAnsi="Times New Roman"/>
      <w:b/>
      <w:sz w:val="32"/>
    </w:rPr>
  </w:style>
  <w:style w:type="paragraph" w:customStyle="1" w:styleId="Heading2TOC">
    <w:name w:val="Heading2 TOC"/>
    <w:basedOn w:val="Normal"/>
    <w:qFormat/>
    <w:rsid w:val="00E60FBC"/>
    <w:pPr>
      <w:spacing w:before="240" w:after="60"/>
    </w:pPr>
    <w:rPr>
      <w:rFonts w:ascii="Times New Roman" w:hAnsi="Times New Roman"/>
      <w:b/>
      <w:sz w:val="28"/>
    </w:rPr>
  </w:style>
  <w:style w:type="character" w:customStyle="1" w:styleId="Underline">
    <w:name w:val="Underline"/>
    <w:basedOn w:val="DefaultParagraphFont"/>
    <w:qFormat/>
    <w:rsid w:val="00E60FBC"/>
    <w:rPr>
      <w:u w:val="single"/>
    </w:rPr>
  </w:style>
  <w:style w:type="character" w:customStyle="1" w:styleId="BoldandItalics">
    <w:name w:val="Bold and Italics"/>
    <w:qFormat/>
    <w:rsid w:val="00E60FBC"/>
    <w:rPr>
      <w:b/>
      <w:i/>
      <w:u w:val="none"/>
    </w:rPr>
  </w:style>
  <w:style w:type="paragraph" w:styleId="BalloonText">
    <w:name w:val="Balloon Text"/>
    <w:basedOn w:val="Normal"/>
    <w:link w:val="BalloonTextChar"/>
    <w:rsid w:val="00E60FBC"/>
    <w:rPr>
      <w:rFonts w:ascii="Tahoma" w:hAnsi="Tahoma" w:cs="Tahoma"/>
      <w:sz w:val="16"/>
      <w:szCs w:val="16"/>
    </w:rPr>
  </w:style>
  <w:style w:type="character" w:customStyle="1" w:styleId="BalloonTextChar">
    <w:name w:val="Balloon Text Char"/>
    <w:basedOn w:val="DefaultParagraphFont"/>
    <w:link w:val="BalloonText"/>
    <w:rsid w:val="00E60F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F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F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FBC"/>
    <w:rPr>
      <w:b/>
      <w:color w:val="660033"/>
      <w:spacing w:val="0"/>
    </w:rPr>
  </w:style>
  <w:style w:type="paragraph" w:customStyle="1" w:styleId="Nameditemlist">
    <w:name w:val="Named item list"/>
    <w:basedOn w:val="BodyText"/>
    <w:qFormat/>
    <w:rsid w:val="00E60FBC"/>
    <w:pPr>
      <w:tabs>
        <w:tab w:val="left" w:pos="2835"/>
      </w:tabs>
      <w:ind w:left="2835" w:hanging="2835"/>
    </w:pPr>
  </w:style>
  <w:style w:type="paragraph" w:customStyle="1" w:styleId="BodyTextnopadding">
    <w:name w:val="Body Text no padding"/>
    <w:basedOn w:val="BodyText"/>
    <w:qFormat/>
    <w:rsid w:val="00E60FBC"/>
    <w:pPr>
      <w:spacing w:before="0" w:after="0"/>
    </w:pPr>
  </w:style>
  <w:style w:type="paragraph" w:customStyle="1" w:styleId="BodyTextBold">
    <w:name w:val="Body Text Bold"/>
    <w:basedOn w:val="BodyText"/>
    <w:qFormat/>
    <w:rsid w:val="00E60FBC"/>
    <w:rPr>
      <w:b/>
    </w:rPr>
  </w:style>
  <w:style w:type="character" w:styleId="Hyperlink">
    <w:name w:val="Hyperlink"/>
    <w:basedOn w:val="DefaultParagraphFont"/>
    <w:uiPriority w:val="99"/>
    <w:unhideWhenUsed/>
    <w:rsid w:val="002571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3027</Characters>
  <Application>Microsoft Office Word</Application>
  <DocSecurity>0</DocSecurity>
  <Lines>168</Lines>
  <Paragraphs>83</Paragraphs>
  <ScaleCrop>false</ScaleCrop>
  <Company>Author-it Software Corporation Ltd.</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NWPHYS007 Use underwater acoustics to map waterways</dc:title>
  <dc:subject>Approved</dc:subject>
  <dc:creator>Australian Industry Standards</dc:creator>
  <cp:keywords>Release: 1</cp:keywords>
  <dc:description>Review Date: 12 April 2008</dc:description>
  <cp:lastModifiedBy>HSD_TPCMSd.prod</cp:lastModifiedBy>
  <cp:revision>3</cp:revision>
  <dcterms:created xsi:type="dcterms:W3CDTF">2022-12-19T06:43:00Z</dcterms:created>
  <dcterms:modified xsi:type="dcterms:W3CDTF">2022-12-19T06:43:00Z</dcterms:modified>
</cp:coreProperties>
</file>