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A44" w:rsidP="00F46A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NWPHYS002 Interpret and analyse science principles for hydrographic surveying</w:t>
      </w:r>
      <w:r>
        <w:fldChar w:fldCharType="end"/>
      </w:r>
    </w:p>
    <w:p w:rsidR="00F46A44" w:rsidP="00F46A44">
      <w:pPr>
        <w:pStyle w:val="Version"/>
        <w:sectPr w:rsidSect="00F65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F27" w:rsidP="00F65F27">
      <w:pPr>
        <w:pStyle w:val="SuperHeading"/>
      </w:pPr>
      <w:r w:rsidRPr="00F65F27">
        <w:t>Assessment Requirements for NWPHYS002 Interpret and analyse science principles for hydrographic surveying</w:t>
      </w:r>
    </w:p>
    <w:p w:rsidR="00000000" w:rsidRPr="00F65F27" w:rsidP="00F65F27">
      <w:pPr>
        <w:pStyle w:val="Heading1"/>
      </w:pPr>
      <w:bookmarkStart w:id="1" w:name="O_1010827"/>
      <w:bookmarkEnd w:id="1"/>
      <w:r w:rsidRPr="00F65F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7" w:rsidP="00F65F27">
            <w:pPr>
              <w:pStyle w:val="BodyText"/>
            </w:pPr>
            <w:r w:rsidRPr="00F65F27">
              <w:t>Release 1.  This is the first release of this unit of competency in the NWP National Water Training Package.</w:t>
            </w:r>
          </w:p>
        </w:tc>
      </w:tr>
    </w:tbl>
    <w:p w:rsidR="00000000" w:rsidRPr="00F65F27" w:rsidP="00F65F27">
      <w:pPr>
        <w:pStyle w:val="NoPaddingFontSize1"/>
      </w:pPr>
    </w:p>
    <w:p w:rsidR="00000000" w:rsidRPr="00F65F27" w:rsidP="00F65F27">
      <w:pPr>
        <w:pStyle w:val="AllowPageBreak"/>
      </w:pPr>
    </w:p>
    <w:p w:rsidR="00000000" w:rsidRPr="00F65F27" w:rsidP="00F65F27">
      <w:pPr>
        <w:pStyle w:val="Heading1"/>
      </w:pPr>
      <w:bookmarkStart w:id="2" w:name="O_1010828"/>
      <w:bookmarkEnd w:id="2"/>
      <w:r w:rsidRPr="00F65F2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7">
            <w:pPr>
              <w:pStyle w:val="BodyText"/>
              <w:rPr>
                <w:lang w:val="en-NZ"/>
              </w:rPr>
            </w:pPr>
            <w:r w:rsidRPr="00F65F2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7" w:rsidP="00F65F27">
            <w:pPr>
              <w:pStyle w:val="ListBullet"/>
            </w:pPr>
            <w:r w:rsidRPr="00F65F27">
              <w:t>applying the variance p</w:t>
            </w:r>
            <w:r w:rsidRPr="00F65F27">
              <w:t>ropagation law to a linear observation equation and deriving a measurement uncertainty as a function of observable co-variances</w:t>
            </w:r>
          </w:p>
          <w:p w:rsidR="00000000" w:rsidRPr="00F65F27" w:rsidP="00F65F27">
            <w:pPr>
              <w:pStyle w:val="ListBullet"/>
            </w:pPr>
            <w:r w:rsidRPr="00F65F27">
              <w:t>defining natural features and characteristics of the seafloor using graphical representation</w:t>
            </w:r>
          </w:p>
          <w:p w:rsidR="00000000" w:rsidRPr="00F65F27" w:rsidP="00F65F27">
            <w:pPr>
              <w:pStyle w:val="ListBullet"/>
            </w:pPr>
            <w:r w:rsidRPr="00F65F27">
              <w:t>performing an a-priori error budget</w:t>
            </w:r>
            <w:r w:rsidRPr="00F65F27">
              <w:t xml:space="preserve"> calculation for a hydrographic survey</w:t>
            </w:r>
          </w:p>
          <w:p w:rsidR="00000000" w:rsidRPr="00F65F27" w:rsidP="00F65F27">
            <w:pPr>
              <w:pStyle w:val="ListBullet"/>
            </w:pPr>
            <w:r w:rsidRPr="00F65F27">
              <w:t xml:space="preserve">solving mathematical calculations and analysing results of a hydrographic dataset including the following: </w:t>
            </w:r>
          </w:p>
          <w:p w:rsidR="00000000" w:rsidRPr="00F65F27" w:rsidP="00F65F27">
            <w:pPr>
              <w:pStyle w:val="ListBullet2"/>
            </w:pPr>
            <w:r w:rsidRPr="00F65F27">
              <w:t>mean</w:t>
            </w:r>
          </w:p>
          <w:p w:rsidR="00000000" w:rsidRPr="00F65F27" w:rsidP="00F65F27">
            <w:pPr>
              <w:pStyle w:val="ListBullet2"/>
            </w:pPr>
            <w:r w:rsidRPr="00F65F27">
              <w:t>variance</w:t>
            </w:r>
          </w:p>
          <w:p w:rsidR="00000000" w:rsidRPr="00F65F27" w:rsidP="00F65F27">
            <w:pPr>
              <w:pStyle w:val="ListBullet2"/>
            </w:pPr>
            <w:r w:rsidRPr="00F65F27">
              <w:t xml:space="preserve">standard deviation </w:t>
            </w:r>
          </w:p>
        </w:tc>
      </w:tr>
    </w:tbl>
    <w:p w:rsidR="00000000" w:rsidRPr="00F65F27" w:rsidP="00F65F27">
      <w:pPr>
        <w:pStyle w:val="NoPaddingFontSize1"/>
      </w:pPr>
    </w:p>
    <w:p w:rsidR="00000000" w:rsidRPr="00F65F27" w:rsidP="00F65F27">
      <w:pPr>
        <w:pStyle w:val="AllowPageBreak"/>
      </w:pPr>
    </w:p>
    <w:p w:rsidR="00000000" w:rsidRPr="00F65F27" w:rsidP="00F65F27">
      <w:pPr>
        <w:pStyle w:val="Heading1"/>
      </w:pPr>
      <w:bookmarkStart w:id="3" w:name="O_1010829"/>
      <w:bookmarkEnd w:id="3"/>
      <w:r w:rsidRPr="00F65F2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5F27">
            <w:pPr>
              <w:pStyle w:val="BodyText"/>
              <w:rPr>
                <w:lang w:val="en-NZ"/>
              </w:rPr>
            </w:pPr>
            <w:r w:rsidRPr="00F65F27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7" w:rsidP="00F65F27">
            <w:pPr>
              <w:pStyle w:val="ListBullet"/>
            </w:pPr>
            <w:r w:rsidRPr="00F65F27">
              <w:t>characteristics of the following:</w:t>
            </w:r>
          </w:p>
          <w:p w:rsidR="00000000" w:rsidRPr="00F65F27" w:rsidP="00F65F27">
            <w:pPr>
              <w:pStyle w:val="ListBullet2"/>
            </w:pPr>
            <w:r w:rsidRPr="00F65F27">
              <w:t>earthquakes zones</w:t>
            </w:r>
          </w:p>
          <w:p w:rsidR="00000000" w:rsidRPr="00F65F27" w:rsidP="00F65F27">
            <w:pPr>
              <w:pStyle w:val="ListBullet2"/>
            </w:pPr>
            <w:r w:rsidRPr="00F65F27">
              <w:t>erosion and deposition</w:t>
            </w:r>
          </w:p>
          <w:p w:rsidR="00000000" w:rsidRPr="00F65F27" w:rsidP="00F65F27">
            <w:pPr>
              <w:pStyle w:val="ListBullet2"/>
            </w:pPr>
            <w:r w:rsidRPr="00F65F27">
              <w:t>plate tectonics</w:t>
            </w:r>
          </w:p>
          <w:p w:rsidR="00000000" w:rsidRPr="00F65F27" w:rsidP="00F65F27">
            <w:pPr>
              <w:pStyle w:val="ListBullet2"/>
            </w:pPr>
            <w:r w:rsidRPr="00F65F27">
              <w:t>rivers and estuaries</w:t>
            </w:r>
          </w:p>
          <w:p w:rsidR="00000000" w:rsidRPr="00F65F27" w:rsidP="00F65F27">
            <w:pPr>
              <w:pStyle w:val="ListBullet2"/>
            </w:pPr>
            <w:r w:rsidRPr="00F65F27">
              <w:t>types of rocks</w:t>
            </w:r>
          </w:p>
          <w:p w:rsidR="00000000" w:rsidRPr="00F65F27" w:rsidP="00F65F27">
            <w:pPr>
              <w:pStyle w:val="ListBullet"/>
            </w:pPr>
            <w:r w:rsidRPr="00F65F27">
              <w:t>characteristics of wave types including:</w:t>
            </w:r>
          </w:p>
          <w:p w:rsidR="00000000" w:rsidRPr="00F65F27" w:rsidP="00F65F27">
            <w:pPr>
              <w:pStyle w:val="ListBullet2"/>
            </w:pPr>
            <w:r w:rsidRPr="00F65F27">
              <w:t>energy source</w:t>
            </w:r>
          </w:p>
          <w:p w:rsidR="00000000" w:rsidRPr="00F65F27" w:rsidP="00F65F27">
            <w:pPr>
              <w:pStyle w:val="ListBullet2"/>
            </w:pPr>
            <w:r w:rsidRPr="00F65F27">
              <w:t>movement</w:t>
            </w:r>
          </w:p>
          <w:p w:rsidR="00000000" w:rsidRPr="00F65F27" w:rsidP="00F65F27">
            <w:pPr>
              <w:pStyle w:val="ListBullet"/>
            </w:pPr>
            <w:r w:rsidRPr="00F65F27">
              <w:t>complex mathematical statistics including:</w:t>
            </w:r>
          </w:p>
          <w:p w:rsidR="00000000" w:rsidRPr="00F65F27" w:rsidP="00F65F27">
            <w:pPr>
              <w:pStyle w:val="ListBullet2"/>
            </w:pPr>
            <w:r w:rsidRPr="00F65F27">
              <w:t>covariance and correlation</w:t>
            </w:r>
          </w:p>
          <w:p w:rsidR="00000000" w:rsidRPr="00F65F27" w:rsidP="00F65F27">
            <w:pPr>
              <w:pStyle w:val="ListBullet2"/>
            </w:pPr>
            <w:r w:rsidRPr="00F65F27">
              <w:t>estimation of mean, variance and co-variance</w:t>
            </w:r>
          </w:p>
          <w:p w:rsidR="00000000" w:rsidRPr="00F65F27" w:rsidP="00F65F27">
            <w:pPr>
              <w:pStyle w:val="ListBullet2"/>
            </w:pPr>
            <w:r w:rsidRPr="00F65F27">
              <w:t>mean</w:t>
            </w:r>
          </w:p>
          <w:p w:rsidR="00000000" w:rsidRPr="00F65F27" w:rsidP="00F65F27">
            <w:pPr>
              <w:pStyle w:val="ListBullet2"/>
            </w:pPr>
            <w:r w:rsidRPr="00F65F27">
              <w:t>normal distribut</w:t>
            </w:r>
            <w:r w:rsidRPr="00F65F27">
              <w:t>ion</w:t>
            </w:r>
          </w:p>
          <w:p w:rsidR="00000000" w:rsidRPr="00F65F27" w:rsidP="00F65F27">
            <w:pPr>
              <w:pStyle w:val="ListBullet2"/>
            </w:pPr>
            <w:r w:rsidRPr="00F65F27">
              <w:t>random variables</w:t>
            </w:r>
          </w:p>
          <w:p w:rsidR="00000000" w:rsidRPr="00F65F27" w:rsidP="00F65F27">
            <w:pPr>
              <w:pStyle w:val="ListBullet2"/>
            </w:pPr>
            <w:r w:rsidRPr="00F65F27">
              <w:t>standard deviation</w:t>
            </w:r>
          </w:p>
          <w:p w:rsidR="00000000" w:rsidRPr="00F65F27" w:rsidP="00F65F27">
            <w:pPr>
              <w:pStyle w:val="ListBullet2"/>
            </w:pPr>
            <w:r w:rsidRPr="00F65F27">
              <w:t>variance</w:t>
            </w:r>
          </w:p>
          <w:p w:rsidR="00000000" w:rsidRPr="00F65F27" w:rsidP="00F65F27">
            <w:pPr>
              <w:pStyle w:val="ListBullet"/>
            </w:pPr>
            <w:r w:rsidRPr="00F65F27">
              <w:t>contribution to the error budget of different components</w:t>
            </w:r>
          </w:p>
          <w:p w:rsidR="00000000" w:rsidRPr="00F65F27" w:rsidP="00F65F27">
            <w:pPr>
              <w:pStyle w:val="ListBullet"/>
            </w:pPr>
            <w:r w:rsidRPr="00F65F27">
              <w:t>covariance propagation law</w:t>
            </w:r>
          </w:p>
          <w:p w:rsidR="00000000" w:rsidRPr="00F65F27" w:rsidP="00F65F27">
            <w:pPr>
              <w:pStyle w:val="ListBullet"/>
            </w:pPr>
            <w:r w:rsidRPr="00F65F27">
              <w:t>describe a random variable</w:t>
            </w:r>
          </w:p>
          <w:p w:rsidR="00000000" w:rsidRPr="00F65F27" w:rsidP="00F65F27">
            <w:pPr>
              <w:pStyle w:val="ListBullet"/>
            </w:pPr>
            <w:r w:rsidRPr="00F65F27">
              <w:t>equipotential surfaces</w:t>
            </w:r>
          </w:p>
          <w:p w:rsidR="00000000" w:rsidRPr="00F65F27" w:rsidP="00F65F27">
            <w:pPr>
              <w:pStyle w:val="ListBullet"/>
            </w:pPr>
            <w:r w:rsidRPr="00F65F27">
              <w:t>gravity field of the earth</w:t>
            </w:r>
          </w:p>
          <w:p w:rsidR="00000000" w:rsidRPr="00F65F27" w:rsidP="00F65F27">
            <w:pPr>
              <w:pStyle w:val="ListBullet"/>
            </w:pPr>
            <w:r w:rsidRPr="00F65F27">
              <w:t>linear observation equations</w:t>
            </w:r>
          </w:p>
          <w:p w:rsidR="00000000" w:rsidRPr="00F65F27" w:rsidP="00F65F27">
            <w:pPr>
              <w:pStyle w:val="ListBullet"/>
            </w:pPr>
            <w:r w:rsidRPr="00F65F27">
              <w:t>mechanics of physics including:</w:t>
            </w:r>
          </w:p>
          <w:p w:rsidR="00000000" w:rsidRPr="00F65F27" w:rsidP="00F65F27">
            <w:pPr>
              <w:pStyle w:val="ListBullet2"/>
            </w:pPr>
            <w:r w:rsidRPr="00F65F27">
              <w:t>accelerations, angular and linear velocities of kinematics</w:t>
            </w:r>
          </w:p>
          <w:p w:rsidR="00000000" w:rsidRPr="00F65F27" w:rsidP="00F65F27">
            <w:pPr>
              <w:pStyle w:val="ListBullet2"/>
            </w:pPr>
            <w:r w:rsidRPr="00F65F27">
              <w:t>characteristics of the Coriolis effect</w:t>
            </w:r>
          </w:p>
          <w:p w:rsidR="00000000" w:rsidRPr="00F65F27" w:rsidP="00F65F27">
            <w:pPr>
              <w:pStyle w:val="ListBullet2"/>
            </w:pPr>
            <w:r w:rsidRPr="00F65F27">
              <w:t>characteristics of Newton’s Laws of Motion including forces, accelerations, energy</w:t>
            </w:r>
          </w:p>
          <w:p w:rsidR="00000000" w:rsidRPr="00F65F27" w:rsidP="00F65F27">
            <w:pPr>
              <w:pStyle w:val="ListBullet"/>
            </w:pPr>
            <w:r w:rsidRPr="00F65F27">
              <w:t>medium parameters impacts on the followin</w:t>
            </w:r>
            <w:r w:rsidRPr="00F65F27">
              <w:t>g:</w:t>
            </w:r>
          </w:p>
          <w:p w:rsidR="00000000" w:rsidRPr="00F65F27" w:rsidP="00F65F27">
            <w:pPr>
              <w:pStyle w:val="ListBullet2"/>
            </w:pPr>
            <w:r w:rsidRPr="00F65F27">
              <w:t>radiation, emission and absorption</w:t>
            </w:r>
          </w:p>
          <w:p w:rsidR="00000000" w:rsidRPr="00F65F27" w:rsidP="00F65F27">
            <w:pPr>
              <w:pStyle w:val="ListBullet2"/>
            </w:pPr>
            <w:r w:rsidRPr="00F65F27">
              <w:t>reflection, refraction, diffraction</w:t>
            </w:r>
          </w:p>
          <w:p w:rsidR="00000000" w:rsidRPr="00F65F27" w:rsidP="00F65F27">
            <w:pPr>
              <w:pStyle w:val="ListBullet2"/>
            </w:pPr>
            <w:r w:rsidRPr="00F65F27">
              <w:t>wave propagation</w:t>
            </w:r>
          </w:p>
          <w:p w:rsidR="00000000" w:rsidRPr="00F65F27" w:rsidP="00F65F27">
            <w:pPr>
              <w:pStyle w:val="ListBullet"/>
            </w:pPr>
            <w:r w:rsidRPr="00F65F27">
              <w:t>ocean basin structure and major processes affecting coastal morphology affected by the following:</w:t>
            </w:r>
          </w:p>
          <w:p w:rsidR="00000000" w:rsidRPr="00F65F27" w:rsidP="00F65F27">
            <w:pPr>
              <w:pStyle w:val="ListBullet2"/>
            </w:pPr>
            <w:r w:rsidRPr="00F65F27">
              <w:t>different types of rocks</w:t>
            </w:r>
          </w:p>
          <w:p w:rsidR="00000000" w:rsidRPr="00F65F27" w:rsidP="00F65F27">
            <w:pPr>
              <w:pStyle w:val="ListBullet2"/>
            </w:pPr>
            <w:r w:rsidRPr="00F65F27">
              <w:t>earthquakes zones</w:t>
            </w:r>
          </w:p>
          <w:p w:rsidR="00000000" w:rsidRPr="00F65F27" w:rsidP="00F65F27">
            <w:pPr>
              <w:pStyle w:val="ListBullet2"/>
            </w:pPr>
            <w:r w:rsidRPr="00F65F27">
              <w:t>erosion and deposition</w:t>
            </w:r>
          </w:p>
          <w:p w:rsidR="00000000" w:rsidRPr="00F65F27" w:rsidP="00F65F27">
            <w:pPr>
              <w:pStyle w:val="ListBullet2"/>
            </w:pPr>
            <w:r w:rsidRPr="00F65F27">
              <w:t>plate tectonics</w:t>
            </w:r>
          </w:p>
          <w:p w:rsidR="00000000" w:rsidRPr="00F65F27" w:rsidP="00F65F27">
            <w:pPr>
              <w:pStyle w:val="ListBullet2"/>
            </w:pPr>
            <w:r w:rsidRPr="00F65F27">
              <w:t>rivers and estuaries</w:t>
            </w:r>
          </w:p>
          <w:p w:rsidR="00000000" w:rsidRPr="00F65F27" w:rsidP="00F65F27">
            <w:pPr>
              <w:pStyle w:val="ListBullet"/>
            </w:pPr>
            <w:r w:rsidRPr="00F65F27">
              <w:t>wave generation and propagation including:</w:t>
            </w:r>
          </w:p>
          <w:p w:rsidR="00000000" w:rsidRPr="00F65F27" w:rsidP="00F65F27">
            <w:pPr>
              <w:pStyle w:val="ListBullet2"/>
            </w:pPr>
            <w:r w:rsidRPr="00F65F27">
              <w:t>radiation, emission and absorption</w:t>
            </w:r>
          </w:p>
          <w:p w:rsidR="00000000" w:rsidRPr="00F65F27" w:rsidP="00F65F27">
            <w:pPr>
              <w:pStyle w:val="ListBullet2"/>
            </w:pPr>
            <w:r w:rsidRPr="00F65F27">
              <w:t>reflection, refraction, diffraction</w:t>
            </w:r>
          </w:p>
          <w:p w:rsidR="00000000" w:rsidRPr="00F65F27" w:rsidP="00F65F27">
            <w:pPr>
              <w:pStyle w:val="ListBullet2"/>
            </w:pPr>
            <w:r w:rsidRPr="00F65F27">
              <w:t>Snell</w:t>
            </w:r>
            <w:r>
              <w:t>’</w:t>
            </w:r>
            <w:r w:rsidRPr="00F65F27">
              <w:t xml:space="preserve">s Law </w:t>
            </w:r>
          </w:p>
          <w:p w:rsidR="00000000" w:rsidRPr="00F65F27" w:rsidP="00F65F27">
            <w:pPr>
              <w:pStyle w:val="ListBullet"/>
            </w:pPr>
            <w:r w:rsidRPr="00F65F27">
              <w:t>wave types including:</w:t>
            </w:r>
          </w:p>
          <w:p w:rsidR="00000000" w:rsidRPr="00F65F27" w:rsidP="00F65F27">
            <w:pPr>
              <w:pStyle w:val="ListBullet2"/>
            </w:pPr>
            <w:r w:rsidRPr="00F65F27">
              <w:t xml:space="preserve">electromagnetic </w:t>
            </w:r>
          </w:p>
          <w:p w:rsidR="00000000" w:rsidRPr="00F65F27" w:rsidP="00F65F27">
            <w:pPr>
              <w:pStyle w:val="ListBullet2"/>
            </w:pPr>
            <w:r w:rsidRPr="00F65F27">
              <w:t xml:space="preserve">pressure </w:t>
            </w:r>
          </w:p>
          <w:p w:rsidR="00000000" w:rsidRPr="00F65F27" w:rsidP="00F65F27">
            <w:pPr>
              <w:pStyle w:val="ListBullet2"/>
            </w:pPr>
            <w:r w:rsidRPr="00F65F27">
              <w:t xml:space="preserve">ocean </w:t>
            </w:r>
          </w:p>
        </w:tc>
      </w:tr>
    </w:tbl>
    <w:p w:rsidR="00000000" w:rsidRPr="00F65F27" w:rsidP="00F65F27">
      <w:pPr>
        <w:pStyle w:val="NoPaddingFontSize1"/>
      </w:pPr>
    </w:p>
    <w:p w:rsidR="00000000" w:rsidRPr="00F65F27" w:rsidP="00F65F27">
      <w:pPr>
        <w:pStyle w:val="AllowPageBreak"/>
      </w:pPr>
    </w:p>
    <w:p w:rsidR="00000000" w:rsidRPr="00F65F27" w:rsidP="00F65F27">
      <w:pPr>
        <w:pStyle w:val="Heading1"/>
      </w:pPr>
      <w:bookmarkStart w:id="4" w:name="O_1010830"/>
      <w:bookmarkEnd w:id="4"/>
      <w:r w:rsidRPr="00F65F2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5F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5F27" w:rsidP="00F65F27">
            <w:pPr>
              <w:pStyle w:val="BodyText"/>
            </w:pPr>
            <w:r w:rsidRPr="00F65F27">
              <w:t xml:space="preserve">Assessors must hold credentials specified within the Standards for Registered Training Organisations current at the time of assessment. </w:t>
            </w:r>
          </w:p>
          <w:p w:rsidR="00000000" w:rsidRPr="00F65F27" w:rsidP="00F65F27">
            <w:pPr>
              <w:pStyle w:val="BodyText"/>
            </w:pPr>
            <w:r w:rsidRPr="00F65F27">
              <w:t xml:space="preserve">Assessment must satisfy the Principles of Assessment and Rules of Evidence and </w:t>
            </w:r>
            <w:r w:rsidRPr="00F65F27">
              <w:t xml:space="preserve">all regulatory requirements included within the Standards for Registered Training Organisations current at the </w:t>
            </w:r>
            <w:r w:rsidRPr="00F65F27">
              <w:t>time of assessment.</w:t>
            </w:r>
          </w:p>
          <w:p w:rsidR="00000000" w:rsidRPr="00F65F27" w:rsidP="00F65F27">
            <w:pPr>
              <w:pStyle w:val="BodyText"/>
            </w:pPr>
            <w:r w:rsidRPr="00F65F27">
              <w:t>Assessment must occur in suitable workplace operational situations. Where this is not appropriate, assessment must occur in s</w:t>
            </w:r>
            <w:r w:rsidRPr="00F65F27">
              <w:t>uitable simulated workplace operational situations reflecting actual workplace conditions.</w:t>
            </w:r>
          </w:p>
          <w:p w:rsidR="00000000" w:rsidRPr="00F65F27" w:rsidP="00F65F27">
            <w:pPr>
              <w:pStyle w:val="BodyText"/>
            </w:pPr>
            <w:r w:rsidRPr="00F65F27">
              <w:t>Assessment processes and techniques must be appropriate to the language, literacy and numeracy requirements of the work being performed and the needs of the candidat</w:t>
            </w:r>
            <w:r w:rsidRPr="00F65F27">
              <w:t>e.</w:t>
            </w:r>
          </w:p>
          <w:p w:rsidR="00000000" w:rsidRPr="00F65F27" w:rsidP="00F65F27">
            <w:pPr>
              <w:pStyle w:val="BodyText"/>
            </w:pPr>
            <w:r w:rsidRPr="00F65F27">
              <w:t>Resources for assessment must include access to:</w:t>
            </w:r>
          </w:p>
          <w:p w:rsidR="00000000" w:rsidRPr="00F65F27" w:rsidP="00F65F27">
            <w:pPr>
              <w:pStyle w:val="ListBullet"/>
            </w:pPr>
            <w:r w:rsidRPr="00F65F27">
              <w:t>relevant and appropriate materials, tools, facilities, equipment and personal protective equipment currently used in industry</w:t>
            </w:r>
          </w:p>
          <w:p w:rsidR="00000000" w:rsidRPr="00F65F27" w:rsidP="00F65F27">
            <w:pPr>
              <w:pStyle w:val="ListBullet"/>
            </w:pPr>
            <w:r w:rsidRPr="00F65F27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F65F27" w:rsidP="00F65F27">
      <w:pPr>
        <w:pStyle w:val="NoPaddingFontSize1"/>
      </w:pPr>
    </w:p>
    <w:p w:rsidR="00000000" w:rsidRPr="00F65F27" w:rsidP="00F65F27">
      <w:pPr>
        <w:pStyle w:val="AllowPageBreak"/>
      </w:pPr>
    </w:p>
    <w:p w:rsidR="00000000" w:rsidRPr="00F65F27" w:rsidP="00F65F27">
      <w:pPr>
        <w:pStyle w:val="Heading1"/>
      </w:pPr>
      <w:bookmarkStart w:id="5" w:name="O_1010833"/>
      <w:bookmarkEnd w:id="5"/>
      <w:r w:rsidRPr="00F65F27">
        <w:t>Links</w:t>
      </w:r>
    </w:p>
    <w:p w:rsidR="00000000" w:rsidRPr="00F65F27" w:rsidP="00F46A44">
      <w:pPr>
        <w:pStyle w:val="BodyText"/>
      </w:pPr>
      <w:r w:rsidRPr="00F65F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E7E0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65F27" w:rsidP="00F65F27"/>
    <w:sectPr w:rsidSect="00F65F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7" w:rsidRPr="00F46A44" w:rsidP="00F46A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44" w:rsidP="00F65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A44" w:rsidP="00F65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6A44" w:rsidP="00F65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F27" w:rsidRPr="00F46A44" w:rsidP="00F46A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44" w:rsidRPr="002D2AF8" w:rsidP="00F65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NWPHYS002 Interpret and analyse science principles for hydrographic surveying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46A44" w:rsidP="00F65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D27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14C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44F0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F27"/>
  </w:style>
  <w:style w:type="character" w:customStyle="1" w:styleId="Heading1Char">
    <w:name w:val="Heading 1 Char"/>
    <w:basedOn w:val="DefaultParagraphFont"/>
    <w:link w:val="Heading1"/>
    <w:rsid w:val="00F65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F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F2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5F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5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5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F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F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F27"/>
    <w:rPr>
      <w:b/>
      <w:spacing w:val="0"/>
    </w:rPr>
  </w:style>
  <w:style w:type="paragraph" w:customStyle="1" w:styleId="SuperTitle">
    <w:name w:val="SuperTitle"/>
    <w:basedOn w:val="Title"/>
    <w:rsid w:val="00F65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F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5F27"/>
    <w:rPr>
      <w:i/>
    </w:rPr>
  </w:style>
  <w:style w:type="paragraph" w:styleId="Caption">
    <w:name w:val="caption"/>
    <w:basedOn w:val="BodyText"/>
    <w:next w:val="Normal"/>
    <w:qFormat/>
    <w:rsid w:val="00F65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F27"/>
  </w:style>
  <w:style w:type="paragraph" w:styleId="TableofFigures">
    <w:name w:val="table of figures"/>
    <w:basedOn w:val="Normal"/>
    <w:next w:val="Normal"/>
    <w:semiHidden/>
    <w:rsid w:val="00F65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F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F27"/>
    <w:rPr>
      <w:rFonts w:ascii="Wingdings" w:hAnsi="Wingdings"/>
    </w:rPr>
  </w:style>
  <w:style w:type="paragraph" w:customStyle="1" w:styleId="TableHeading">
    <w:name w:val="Table Heading"/>
    <w:basedOn w:val="HeadingBase"/>
    <w:rsid w:val="00F65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F27"/>
    <w:rPr>
      <w:color w:val="0033CC"/>
      <w:u w:val="none"/>
    </w:rPr>
  </w:style>
  <w:style w:type="paragraph" w:customStyle="1" w:styleId="BodyTextRight">
    <w:name w:val="Body Text Right"/>
    <w:basedOn w:val="BodyText"/>
    <w:rsid w:val="00F65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F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F27"/>
    <w:rPr>
      <w:sz w:val="32"/>
    </w:rPr>
  </w:style>
  <w:style w:type="paragraph" w:customStyle="1" w:styleId="HeadingProcedure">
    <w:name w:val="Heading Procedure"/>
    <w:basedOn w:val="HeadingBase"/>
    <w:next w:val="Normal"/>
    <w:rsid w:val="00F65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F27"/>
    <w:pPr>
      <w:spacing w:before="60" w:after="60"/>
    </w:pPr>
  </w:style>
  <w:style w:type="paragraph" w:styleId="ListContinue">
    <w:name w:val="List Continue"/>
    <w:basedOn w:val="List"/>
    <w:rsid w:val="00F65F27"/>
    <w:pPr>
      <w:ind w:firstLine="0"/>
    </w:pPr>
  </w:style>
  <w:style w:type="paragraph" w:customStyle="1" w:styleId="ListNote">
    <w:name w:val="List Note"/>
    <w:basedOn w:val="List"/>
    <w:rsid w:val="00F65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F27"/>
    <w:rPr>
      <w:rFonts w:ascii="Courier New" w:hAnsi="Courier New"/>
    </w:rPr>
  </w:style>
  <w:style w:type="paragraph" w:customStyle="1" w:styleId="NoteBullet">
    <w:name w:val="Note Bullet"/>
    <w:basedOn w:val="Note"/>
    <w:rsid w:val="00F65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F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F27"/>
    <w:rPr>
      <w:b/>
      <w:smallCaps/>
    </w:rPr>
  </w:style>
  <w:style w:type="paragraph" w:customStyle="1" w:styleId="TableListNumber">
    <w:name w:val="Table List Number"/>
    <w:basedOn w:val="ListNumber"/>
    <w:rsid w:val="00F65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F27"/>
    <w:pPr>
      <w:numPr>
        <w:numId w:val="9"/>
      </w:numPr>
    </w:pPr>
  </w:style>
  <w:style w:type="paragraph" w:customStyle="1" w:styleId="ListAlpha2">
    <w:name w:val="List Alpha 2"/>
    <w:basedOn w:val="List2"/>
    <w:rsid w:val="00F65F27"/>
    <w:pPr>
      <w:numPr>
        <w:numId w:val="8"/>
      </w:numPr>
    </w:pPr>
  </w:style>
  <w:style w:type="paragraph" w:styleId="List2">
    <w:name w:val="List 2"/>
    <w:basedOn w:val="BodyText"/>
    <w:rsid w:val="00F65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F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F27"/>
    <w:pPr>
      <w:numPr>
        <w:numId w:val="4"/>
      </w:numPr>
    </w:pPr>
  </w:style>
  <w:style w:type="paragraph" w:styleId="ListContinue2">
    <w:name w:val="List Continue 2"/>
    <w:basedOn w:val="List2"/>
    <w:rsid w:val="00F65F27"/>
    <w:pPr>
      <w:ind w:firstLine="0"/>
    </w:pPr>
  </w:style>
  <w:style w:type="paragraph" w:styleId="ListContinue3">
    <w:name w:val="List Continue 3"/>
    <w:basedOn w:val="List3"/>
    <w:rsid w:val="00F65F27"/>
    <w:pPr>
      <w:ind w:left="1021" w:firstLine="0"/>
    </w:pPr>
  </w:style>
  <w:style w:type="paragraph" w:styleId="ListContinue4">
    <w:name w:val="List Continue 4"/>
    <w:basedOn w:val="List4"/>
    <w:rsid w:val="00F65F27"/>
    <w:pPr>
      <w:ind w:firstLine="0"/>
    </w:pPr>
  </w:style>
  <w:style w:type="paragraph" w:styleId="ListContinue5">
    <w:name w:val="List Continue 5"/>
    <w:basedOn w:val="List5"/>
    <w:rsid w:val="00F65F27"/>
    <w:pPr>
      <w:ind w:firstLine="0"/>
    </w:pPr>
  </w:style>
  <w:style w:type="paragraph" w:styleId="ListNumber3">
    <w:name w:val="List Number 3"/>
    <w:basedOn w:val="List3"/>
    <w:rsid w:val="00F65F27"/>
    <w:pPr>
      <w:numPr>
        <w:numId w:val="5"/>
      </w:numPr>
    </w:pPr>
  </w:style>
  <w:style w:type="paragraph" w:styleId="ListNumber4">
    <w:name w:val="List Number 4"/>
    <w:basedOn w:val="List4"/>
    <w:rsid w:val="00F65F27"/>
    <w:pPr>
      <w:numPr>
        <w:numId w:val="6"/>
      </w:numPr>
    </w:pPr>
  </w:style>
  <w:style w:type="paragraph" w:styleId="ListNumber5">
    <w:name w:val="List Number 5"/>
    <w:basedOn w:val="List5"/>
    <w:rsid w:val="00F65F27"/>
    <w:pPr>
      <w:numPr>
        <w:numId w:val="7"/>
      </w:numPr>
    </w:pPr>
  </w:style>
  <w:style w:type="paragraph" w:styleId="BlockText">
    <w:name w:val="Block Text"/>
    <w:basedOn w:val="Normal"/>
    <w:rsid w:val="00F65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F27"/>
    <w:rPr>
      <w:sz w:val="16"/>
      <w:vertAlign w:val="superscript"/>
    </w:rPr>
  </w:style>
  <w:style w:type="character" w:customStyle="1" w:styleId="Symbols">
    <w:name w:val="Symbols"/>
    <w:basedOn w:val="DefaultParagraphFont"/>
    <w:rsid w:val="00F65F27"/>
    <w:rPr>
      <w:rFonts w:ascii="Symbol" w:hAnsi="Symbol"/>
    </w:rPr>
  </w:style>
  <w:style w:type="character" w:customStyle="1" w:styleId="MenuOptions">
    <w:name w:val="Menu Options"/>
    <w:basedOn w:val="DefaultParagraphFont"/>
    <w:rsid w:val="00F65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F27"/>
    <w:rPr>
      <w:b/>
    </w:rPr>
  </w:style>
  <w:style w:type="character" w:customStyle="1" w:styleId="Underlined">
    <w:name w:val="Underlined"/>
    <w:basedOn w:val="DefaultParagraphFont"/>
    <w:rsid w:val="00F65F27"/>
    <w:rPr>
      <w:u w:val="single"/>
    </w:rPr>
  </w:style>
  <w:style w:type="paragraph" w:customStyle="1" w:styleId="TableBodyTextRight">
    <w:name w:val="Table Body Text Right"/>
    <w:basedOn w:val="TableBodyText"/>
    <w:rsid w:val="00F65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F27"/>
    <w:rPr>
      <w:sz w:val="18"/>
    </w:rPr>
  </w:style>
  <w:style w:type="paragraph" w:customStyle="1" w:styleId="BodySmallRight">
    <w:name w:val="Body Small Right"/>
    <w:basedOn w:val="BodyTextRight"/>
    <w:rsid w:val="00F65F27"/>
    <w:rPr>
      <w:sz w:val="18"/>
      <w:szCs w:val="18"/>
    </w:rPr>
  </w:style>
  <w:style w:type="paragraph" w:customStyle="1" w:styleId="MarginEdition">
    <w:name w:val="Margin Edition"/>
    <w:basedOn w:val="MarginNote"/>
    <w:rsid w:val="00F65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F27"/>
    <w:rPr>
      <w:sz w:val="2"/>
      <w:szCs w:val="2"/>
    </w:rPr>
  </w:style>
  <w:style w:type="character" w:customStyle="1" w:styleId="Small">
    <w:name w:val="Small"/>
    <w:basedOn w:val="DefaultParagraphFont"/>
    <w:rsid w:val="00F65F27"/>
    <w:rPr>
      <w:sz w:val="16"/>
    </w:rPr>
  </w:style>
  <w:style w:type="paragraph" w:customStyle="1" w:styleId="WideTable">
    <w:name w:val="Wide Table"/>
    <w:basedOn w:val="Normal"/>
    <w:rsid w:val="00F65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F27"/>
  </w:style>
  <w:style w:type="paragraph" w:styleId="Quote">
    <w:name w:val="Quote"/>
    <w:basedOn w:val="Heading1"/>
    <w:link w:val="QuoteChar"/>
    <w:qFormat/>
    <w:rsid w:val="00F65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F27"/>
    <w:pPr>
      <w:pageBreakBefore/>
    </w:pPr>
  </w:style>
  <w:style w:type="paragraph" w:customStyle="1" w:styleId="Border">
    <w:name w:val="Border"/>
    <w:basedOn w:val="Normal"/>
    <w:qFormat/>
    <w:rsid w:val="00F65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F27"/>
    <w:rPr>
      <w:u w:val="single"/>
    </w:rPr>
  </w:style>
  <w:style w:type="character" w:customStyle="1" w:styleId="BoldandItalics">
    <w:name w:val="Bold and Italics"/>
    <w:qFormat/>
    <w:rsid w:val="00F65F27"/>
    <w:rPr>
      <w:b/>
      <w:i/>
      <w:u w:val="none"/>
    </w:rPr>
  </w:style>
  <w:style w:type="paragraph" w:styleId="BalloonText">
    <w:name w:val="Balloon Text"/>
    <w:basedOn w:val="Normal"/>
    <w:link w:val="BalloonTextChar"/>
    <w:rsid w:val="00F65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F27"/>
    <w:pPr>
      <w:spacing w:before="0" w:after="0"/>
    </w:pPr>
  </w:style>
  <w:style w:type="paragraph" w:customStyle="1" w:styleId="BodyTextBold">
    <w:name w:val="Body Text Bold"/>
    <w:basedOn w:val="BodyText"/>
    <w:qFormat/>
    <w:rsid w:val="00F65F27"/>
    <w:rPr>
      <w:b/>
    </w:rPr>
  </w:style>
  <w:style w:type="character" w:styleId="Hyperlink">
    <w:name w:val="Hyperlink"/>
    <w:basedOn w:val="DefaultParagraphFont"/>
    <w:uiPriority w:val="99"/>
    <w:unhideWhenUsed/>
    <w:rsid w:val="00F46A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3454</Characters>
  <Application>Microsoft Office Word</Application>
  <DocSecurity>0</DocSecurity>
  <Lines>101</Lines>
  <Paragraphs>83</Paragraphs>
  <ScaleCrop>false</ScaleCrop>
  <Company>Author-it Software Corporation Ltd.</Company>
  <LinksUpToDate>false</LinksUpToDate>
  <CharactersWithSpaces>3864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NWPHYS002 Interpret and analyse science principles for hydrographic surveying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