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0D5" w:rsidP="00C64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NWPHYD006 Measure discharge and process discharge data using a range of methods and equipment</w:t>
      </w:r>
      <w:r>
        <w:fldChar w:fldCharType="end"/>
      </w:r>
    </w:p>
    <w:p w:rsidR="00C640D5" w:rsidP="00C640D5">
      <w:pPr>
        <w:pStyle w:val="Version"/>
        <w:sectPr w:rsidSect="00812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BA9" w:rsidP="00812BA9">
      <w:pPr>
        <w:pStyle w:val="SuperHeading"/>
      </w:pPr>
      <w:r w:rsidRPr="00812BA9">
        <w:t>Assessment Requirements for NWPHYD006 Measure discharge and process discharge data using a range of methods and equipment</w:t>
      </w:r>
    </w:p>
    <w:p w:rsidR="00000000" w:rsidRPr="00812BA9" w:rsidP="00812BA9">
      <w:pPr>
        <w:pStyle w:val="Heading1"/>
      </w:pPr>
      <w:bookmarkStart w:id="1" w:name="O_1122453"/>
      <w:bookmarkEnd w:id="1"/>
      <w:r w:rsidRPr="00812B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BodyText"/>
            </w:pPr>
            <w:r w:rsidRPr="00812BA9">
              <w:t>Release 1. This is the first release of this unit of competency in the NWP National Water Training Package.</w:t>
            </w:r>
          </w:p>
        </w:tc>
      </w:tr>
    </w:tbl>
    <w:p w:rsidR="00C640D5" w:rsidP="00812BA9">
      <w:pPr>
        <w:pStyle w:val="NoPaddingFontSize1"/>
      </w:pPr>
    </w:p>
    <w:p w:rsidR="00C640D5" w:rsidP="00812BA9">
      <w:pPr>
        <w:pStyle w:val="NoPaddingFontSize1"/>
      </w:pPr>
    </w:p>
    <w:p w:rsidR="00000000" w:rsidRPr="00812BA9" w:rsidP="00812BA9">
      <w:pPr>
        <w:pStyle w:val="Heading1"/>
      </w:pPr>
      <w:bookmarkStart w:id="2" w:name="O_1122454"/>
      <w:bookmarkEnd w:id="2"/>
      <w:r w:rsidRPr="00812B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9">
            <w:pPr>
              <w:pStyle w:val="BodyText"/>
              <w:rPr>
                <w:lang w:val="en-NZ"/>
              </w:rPr>
            </w:pPr>
            <w:r w:rsidRPr="00812BA9">
              <w:t>Evidence required to demonstrate competence in this unit must be relevant to and satisfy all the requirem</w:t>
            </w:r>
            <w:r w:rsidRPr="00812BA9">
              <w:t>ents of the elements and performance criteria on at least one occasion and includes:</w:t>
            </w:r>
          </w:p>
        </w:tc>
      </w:tr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ListBullet"/>
            </w:pPr>
            <w:r w:rsidRPr="00812BA9">
              <w:t>applying corrections to measurements</w:t>
            </w:r>
          </w:p>
          <w:p w:rsidR="00000000" w:rsidRPr="00812BA9" w:rsidP="00812BA9">
            <w:pPr>
              <w:pStyle w:val="ListBullet"/>
            </w:pPr>
            <w:r w:rsidRPr="00812BA9">
              <w:t>assembling and testing metering equipment</w:t>
            </w:r>
          </w:p>
          <w:p w:rsidR="00000000" w:rsidRPr="00812BA9" w:rsidP="00812BA9">
            <w:pPr>
              <w:pStyle w:val="ListBullet"/>
            </w:pPr>
            <w:r w:rsidRPr="00812BA9">
              <w:t>assessing risks and applying precautions and action</w:t>
            </w:r>
          </w:p>
          <w:p w:rsidR="00000000" w:rsidRPr="00812BA9" w:rsidP="00812BA9">
            <w:pPr>
              <w:pStyle w:val="ListBullet"/>
            </w:pPr>
            <w:r w:rsidRPr="00812BA9">
              <w:t>checking and preparing gauging section</w:t>
            </w:r>
          </w:p>
          <w:p w:rsidR="00000000" w:rsidRPr="00812BA9" w:rsidP="00812BA9">
            <w:pPr>
              <w:pStyle w:val="ListBullet"/>
            </w:pPr>
            <w:r w:rsidRPr="00812BA9">
              <w:t>confirming and recording the percentage deviation from the rating determined by checking:</w:t>
            </w:r>
          </w:p>
          <w:p w:rsidR="00000000" w:rsidRPr="00812BA9" w:rsidP="00812BA9">
            <w:pPr>
              <w:pStyle w:val="ListBullet2"/>
            </w:pPr>
            <w:r w:rsidRPr="00812BA9">
              <w:t>calculations</w:t>
            </w:r>
          </w:p>
          <w:p w:rsidR="00000000" w:rsidRPr="00812BA9" w:rsidP="00812BA9">
            <w:pPr>
              <w:pStyle w:val="ListBullet2"/>
            </w:pPr>
            <w:r w:rsidRPr="00812BA9">
              <w:t>equipment</w:t>
            </w:r>
          </w:p>
          <w:p w:rsidR="00000000" w:rsidRPr="00812BA9" w:rsidP="00812BA9">
            <w:pPr>
              <w:pStyle w:val="ListBullet2"/>
            </w:pPr>
            <w:r w:rsidRPr="00812BA9">
              <w:t>gauging station control</w:t>
            </w:r>
          </w:p>
          <w:p w:rsidR="00000000" w:rsidRPr="00812BA9" w:rsidP="00812BA9">
            <w:pPr>
              <w:pStyle w:val="ListBullet2"/>
            </w:pPr>
            <w:r w:rsidRPr="00812BA9">
              <w:t>recording equipment</w:t>
            </w:r>
          </w:p>
          <w:p w:rsidR="00000000" w:rsidRPr="00812BA9" w:rsidP="00812BA9">
            <w:pPr>
              <w:pStyle w:val="ListBullet2"/>
            </w:pPr>
            <w:r w:rsidRPr="00812BA9">
              <w:t>repeat measurement</w:t>
            </w:r>
          </w:p>
          <w:p w:rsidR="00000000" w:rsidRPr="00812BA9" w:rsidP="00812BA9">
            <w:pPr>
              <w:pStyle w:val="ListBullet"/>
            </w:pPr>
            <w:r w:rsidRPr="00812BA9">
              <w:t>estimating and explaining the anticipated vertical distribution</w:t>
            </w:r>
          </w:p>
          <w:p w:rsidR="00000000" w:rsidRPr="00812BA9" w:rsidP="00812BA9">
            <w:pPr>
              <w:pStyle w:val="ListBullet"/>
            </w:pPr>
            <w:r w:rsidRPr="00812BA9">
              <w:t>gathering and documenting supporting information relevant to the discharge measurement</w:t>
            </w:r>
          </w:p>
          <w:p w:rsidR="00000000" w:rsidRPr="00812BA9" w:rsidP="00812BA9">
            <w:pPr>
              <w:pStyle w:val="ListBullet"/>
            </w:pPr>
            <w:r w:rsidRPr="00812BA9">
              <w:t>gathering, analysing, verifying, interpreting, storing, archiving and reporting data for a range of clients and stakeholders</w:t>
            </w:r>
          </w:p>
          <w:p w:rsidR="00000000" w:rsidRPr="00812BA9" w:rsidP="00812BA9">
            <w:pPr>
              <w:pStyle w:val="ListBullet"/>
            </w:pPr>
            <w:r w:rsidRPr="00812BA9">
              <w:t>identifying, reporting and solving potential</w:t>
            </w:r>
            <w:r w:rsidRPr="00812BA9">
              <w:t xml:space="preserve"> issues in relation to discharge measurement</w:t>
            </w:r>
          </w:p>
          <w:p w:rsidR="00000000" w:rsidRPr="00812BA9" w:rsidP="00812BA9">
            <w:pPr>
              <w:pStyle w:val="ListBullet"/>
            </w:pPr>
            <w:r w:rsidRPr="00812BA9">
              <w:t>making calculations on depth and velocity</w:t>
            </w:r>
          </w:p>
          <w:p w:rsidR="00000000" w:rsidRPr="00812BA9" w:rsidP="00812BA9">
            <w:pPr>
              <w:pStyle w:val="ListBullet"/>
            </w:pPr>
            <w:r w:rsidRPr="00812BA9">
              <w:t>measuring and calculating readings</w:t>
            </w:r>
          </w:p>
          <w:p w:rsidR="00000000" w:rsidRPr="00812BA9" w:rsidP="00812BA9">
            <w:pPr>
              <w:pStyle w:val="ListBullet"/>
            </w:pPr>
            <w:r w:rsidRPr="00812BA9">
              <w:t>plotting discharge measurements on organisation’s preferred scale</w:t>
            </w:r>
          </w:p>
          <w:p w:rsidR="00000000" w:rsidRPr="00812BA9" w:rsidP="00812BA9">
            <w:pPr>
              <w:pStyle w:val="ListBullet"/>
            </w:pPr>
            <w:r w:rsidRPr="00812BA9">
              <w:t>selecting appropriate equipment and techniques relevant to site cond</w:t>
            </w:r>
            <w:r w:rsidRPr="00812BA9">
              <w:t>itions transferring data to database</w:t>
            </w:r>
          </w:p>
          <w:p w:rsidR="00000000" w:rsidRPr="00812BA9" w:rsidP="00812BA9">
            <w:pPr>
              <w:pStyle w:val="ListBullet"/>
            </w:pPr>
            <w:r w:rsidRPr="00812BA9">
              <w:t>using a range of suitable techniques to determine mean stage in rapidly changing situations</w:t>
            </w:r>
          </w:p>
          <w:p w:rsidR="00000000" w:rsidRPr="00812BA9" w:rsidP="00812BA9">
            <w:pPr>
              <w:pStyle w:val="ListBullet"/>
            </w:pPr>
            <w:r w:rsidRPr="00812BA9">
              <w:t>using area velocity methods</w:t>
            </w:r>
          </w:p>
          <w:p w:rsidR="00000000" w:rsidRPr="00812BA9" w:rsidP="00812BA9">
            <w:pPr>
              <w:pStyle w:val="ListBullet"/>
            </w:pPr>
            <w:r w:rsidRPr="00812BA9">
              <w:t>using formulae for determining the percentage deviation</w:t>
            </w:r>
          </w:p>
        </w:tc>
      </w:tr>
    </w:tbl>
    <w:p w:rsidR="00000000" w:rsidRPr="00812BA9" w:rsidP="00812BA9">
      <w:pPr>
        <w:pStyle w:val="NoPaddingFontSize1"/>
      </w:pPr>
    </w:p>
    <w:p w:rsidR="00000000" w:rsidRPr="00812BA9" w:rsidP="00812BA9">
      <w:pPr>
        <w:pStyle w:val="AllowPageBreak"/>
      </w:pPr>
    </w:p>
    <w:p w:rsidR="00000000" w:rsidRPr="00812BA9" w:rsidP="00812BA9">
      <w:pPr>
        <w:pStyle w:val="Heading1"/>
      </w:pPr>
      <w:bookmarkStart w:id="3" w:name="O_1122455"/>
      <w:bookmarkEnd w:id="3"/>
      <w:r w:rsidRPr="00812B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BA9">
            <w:pPr>
              <w:pStyle w:val="BodyText"/>
              <w:rPr>
                <w:lang w:val="en-NZ"/>
              </w:rPr>
            </w:pPr>
            <w:r w:rsidRPr="00812BA9">
              <w:t xml:space="preserve">Evidence required to demonstrate competence in this unit must be relevant to and satisfy all the </w:t>
            </w:r>
            <w:r w:rsidRPr="00812BA9">
              <w:t>requirements of the elements and performance criteria and include knowledge of:</w:t>
            </w:r>
          </w:p>
        </w:tc>
      </w:tr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ListBullet"/>
            </w:pPr>
            <w:r w:rsidRPr="00812BA9">
              <w:t>client service agreements</w:t>
            </w:r>
          </w:p>
          <w:p w:rsidR="00000000" w:rsidRPr="00812BA9" w:rsidP="00812BA9">
            <w:pPr>
              <w:pStyle w:val="ListBullet"/>
            </w:pPr>
            <w:r w:rsidRPr="00812BA9">
              <w:t>correction procedures for horizontal angles and sus</w:t>
            </w:r>
            <w:r w:rsidRPr="00812BA9">
              <w:t>pension measurements</w:t>
            </w:r>
          </w:p>
          <w:p w:rsidR="00000000" w:rsidRPr="00812BA9" w:rsidP="00812BA9">
            <w:pPr>
              <w:pStyle w:val="ListBullet"/>
            </w:pPr>
            <w:r w:rsidRPr="00812BA9">
              <w:t>discharge and mean stage adjustment</w:t>
            </w:r>
          </w:p>
          <w:p w:rsidR="00000000" w:rsidRPr="00812BA9" w:rsidP="00812BA9">
            <w:pPr>
              <w:pStyle w:val="ListBullet"/>
            </w:pPr>
            <w:r w:rsidRPr="00812BA9">
              <w:t>equipment and required techniques including:</w:t>
            </w:r>
          </w:p>
          <w:p w:rsidR="00000000" w:rsidRPr="00812BA9" w:rsidP="00812BA9">
            <w:pPr>
              <w:pStyle w:val="ListBullet2"/>
            </w:pPr>
            <w:r w:rsidRPr="00812BA9">
              <w:t>Acoustic Doppler Current Profiler (ADCP)</w:t>
            </w:r>
          </w:p>
          <w:p w:rsidR="00000000" w:rsidRPr="00812BA9" w:rsidP="00812BA9">
            <w:pPr>
              <w:pStyle w:val="ListBullet2"/>
            </w:pPr>
            <w:r w:rsidRPr="00812BA9">
              <w:t>area slope method</w:t>
            </w:r>
          </w:p>
          <w:p w:rsidR="00000000" w:rsidRPr="00812BA9" w:rsidP="00812BA9">
            <w:pPr>
              <w:pStyle w:val="ListBullet2"/>
            </w:pPr>
            <w:r w:rsidRPr="00812BA9">
              <w:t>area velocity method</w:t>
            </w:r>
          </w:p>
          <w:p w:rsidR="00000000" w:rsidRPr="00812BA9" w:rsidP="00812BA9">
            <w:pPr>
              <w:pStyle w:val="ListBullet2"/>
            </w:pPr>
            <w:r w:rsidRPr="00812BA9">
              <w:t>dilution gauging</w:t>
            </w:r>
          </w:p>
          <w:p w:rsidR="00000000" w:rsidRPr="00812BA9" w:rsidP="00812BA9">
            <w:pPr>
              <w:pStyle w:val="ListBullet2"/>
            </w:pPr>
            <w:r w:rsidRPr="00812BA9">
              <w:t>Doppler velocity meter</w:t>
            </w:r>
          </w:p>
          <w:p w:rsidR="00000000" w:rsidRPr="00812BA9" w:rsidP="00812BA9">
            <w:pPr>
              <w:pStyle w:val="ListBullet2"/>
            </w:pPr>
            <w:r w:rsidRPr="00812BA9">
              <w:t>electromagnetic current meter</w:t>
            </w:r>
          </w:p>
          <w:p w:rsidR="00000000" w:rsidRPr="00812BA9" w:rsidP="00812BA9">
            <w:pPr>
              <w:pStyle w:val="ListBullet2"/>
            </w:pPr>
            <w:r w:rsidRPr="00812BA9">
              <w:t>float gauging</w:t>
            </w:r>
          </w:p>
          <w:p w:rsidR="00000000" w:rsidRPr="00812BA9" w:rsidP="00812BA9">
            <w:pPr>
              <w:pStyle w:val="ListBullet2"/>
            </w:pPr>
            <w:r w:rsidRPr="00812BA9">
              <w:t>mechanical current meter</w:t>
            </w:r>
          </w:p>
          <w:p w:rsidR="00000000" w:rsidRPr="00812BA9" w:rsidP="00812BA9">
            <w:pPr>
              <w:pStyle w:val="ListBullet"/>
            </w:pPr>
            <w:r w:rsidRPr="00812BA9">
              <w:t>factors impacting on discharge measurements and the quality of the discharge</w:t>
            </w:r>
          </w:p>
          <w:p w:rsidR="00000000" w:rsidRPr="00812BA9" w:rsidP="00812BA9">
            <w:pPr>
              <w:pStyle w:val="ListBullet"/>
            </w:pPr>
            <w:r w:rsidRPr="00812BA9">
              <w:t>impacts of site conditions, gauging techniques or equipment on discharge accuracy</w:t>
            </w:r>
          </w:p>
          <w:p w:rsidR="00000000" w:rsidRPr="00812BA9" w:rsidP="00812BA9">
            <w:pPr>
              <w:pStyle w:val="ListBullet"/>
            </w:pPr>
            <w:r w:rsidRPr="00812BA9">
              <w:t>mathematical principles for area and velocity measurement</w:t>
            </w:r>
            <w:r w:rsidRPr="00812BA9">
              <w:t>s</w:t>
            </w:r>
          </w:p>
          <w:p w:rsidR="00000000" w:rsidRPr="00812BA9" w:rsidP="00812BA9">
            <w:pPr>
              <w:pStyle w:val="ListBullet"/>
            </w:pPr>
            <w:r w:rsidRPr="00812BA9">
              <w:t>methods for calculating mean velocity in a vertical</w:t>
            </w:r>
          </w:p>
          <w:p w:rsidR="00000000" w:rsidRPr="00812BA9" w:rsidP="00812BA9">
            <w:pPr>
              <w:pStyle w:val="ListBullet"/>
            </w:pPr>
            <w:r w:rsidRPr="00812BA9">
              <w:t>methods for determining the cross-sectional area at a site</w:t>
            </w:r>
          </w:p>
          <w:p w:rsidR="00000000" w:rsidRPr="00812BA9" w:rsidP="00812BA9">
            <w:pPr>
              <w:pStyle w:val="ListBullet"/>
            </w:pPr>
            <w:r w:rsidRPr="00812BA9">
              <w:t>principles and alternative methods of discharge measurement</w:t>
            </w:r>
          </w:p>
          <w:p w:rsidR="00000000" w:rsidRPr="00812BA9" w:rsidP="00812BA9">
            <w:pPr>
              <w:pStyle w:val="ListBullet"/>
            </w:pPr>
            <w:r w:rsidRPr="00812BA9">
              <w:t>relevant legislation, industry standards, workplace policies and procedures includi</w:t>
            </w:r>
            <w:r w:rsidRPr="00812BA9">
              <w:t>ng:</w:t>
            </w:r>
          </w:p>
          <w:p w:rsidR="00000000" w:rsidRPr="00812BA9" w:rsidP="00812BA9">
            <w:pPr>
              <w:pStyle w:val="ListBullet2"/>
            </w:pPr>
            <w:r w:rsidRPr="00812BA9">
              <w:t>Bureau of Meteorology</w:t>
            </w:r>
          </w:p>
          <w:p w:rsidR="00000000" w:rsidRPr="00812BA9" w:rsidP="00812BA9">
            <w:pPr>
              <w:pStyle w:val="ListBullet2"/>
            </w:pPr>
            <w:r w:rsidRPr="00812BA9">
              <w:t>international and national standards</w:t>
            </w:r>
          </w:p>
          <w:p w:rsidR="00000000" w:rsidRPr="00812BA9" w:rsidP="00812BA9">
            <w:pPr>
              <w:pStyle w:val="ListBullet2"/>
            </w:pPr>
            <w:r w:rsidRPr="00812BA9">
              <w:t>work health and safety</w:t>
            </w:r>
          </w:p>
          <w:p w:rsidR="00000000" w:rsidRPr="00812BA9" w:rsidP="00812BA9">
            <w:pPr>
              <w:pStyle w:val="ListBullet2"/>
            </w:pPr>
            <w:r w:rsidRPr="00812BA9">
              <w:t xml:space="preserve">World Meteorological Organisation </w:t>
            </w:r>
          </w:p>
          <w:p w:rsidR="00000000" w:rsidRPr="00812BA9" w:rsidP="00812BA9">
            <w:pPr>
              <w:pStyle w:val="ListBullet"/>
            </w:pPr>
            <w:r w:rsidRPr="00812BA9">
              <w:t>requirements for surface velocity float measurements</w:t>
            </w:r>
          </w:p>
          <w:p w:rsidR="00000000" w:rsidRPr="00812BA9" w:rsidP="00812BA9">
            <w:pPr>
              <w:pStyle w:val="ListBullet"/>
            </w:pPr>
            <w:r w:rsidRPr="00812BA9">
              <w:t>technical components in calculating discharge</w:t>
            </w:r>
          </w:p>
          <w:p w:rsidR="00000000" w:rsidRPr="00812BA9" w:rsidP="00812BA9">
            <w:pPr>
              <w:pStyle w:val="ListBullet"/>
            </w:pPr>
            <w:r w:rsidRPr="00812BA9">
              <w:t>techniques for monitoring stage changes during discharge measurement</w:t>
            </w:r>
          </w:p>
          <w:p w:rsidR="00000000" w:rsidRPr="00812BA9" w:rsidP="00812BA9">
            <w:pPr>
              <w:pStyle w:val="ListBullet"/>
            </w:pPr>
            <w:r w:rsidRPr="00812BA9">
              <w:t>weighted mean stage calculations</w:t>
            </w:r>
          </w:p>
        </w:tc>
      </w:tr>
    </w:tbl>
    <w:p w:rsidR="00000000" w:rsidRPr="00812BA9" w:rsidP="00812BA9">
      <w:pPr>
        <w:pStyle w:val="NoPaddingFontSize1"/>
      </w:pPr>
    </w:p>
    <w:p w:rsidR="00000000" w:rsidRPr="00812BA9" w:rsidP="00812BA9">
      <w:pPr>
        <w:pStyle w:val="AllowPageBreak"/>
      </w:pPr>
    </w:p>
    <w:p w:rsidR="00000000" w:rsidRPr="00812BA9" w:rsidP="00812BA9">
      <w:pPr>
        <w:pStyle w:val="Heading1"/>
      </w:pPr>
      <w:bookmarkStart w:id="4" w:name="O_1122456"/>
      <w:bookmarkEnd w:id="4"/>
      <w:r w:rsidRPr="00812B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B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BA9" w:rsidP="00812BA9">
            <w:pPr>
              <w:pStyle w:val="BodyText"/>
            </w:pPr>
            <w:r w:rsidRPr="00812BA9">
              <w:t xml:space="preserve">Assessors must hold credentials specified within the Standards for Registered Training Organisations current at the time of assessment. </w:t>
            </w:r>
          </w:p>
          <w:p w:rsidR="00000000" w:rsidRPr="00812BA9" w:rsidP="00812BA9">
            <w:pPr>
              <w:pStyle w:val="BodyText"/>
            </w:pPr>
            <w:r w:rsidRPr="00812BA9">
              <w:t>Assessment must satisfy the Principles of Assessment and Rules of Evidence and all regulatory requirements included wit</w:t>
            </w:r>
            <w:r w:rsidRPr="00812BA9">
              <w:t>hin the Standards for Registered Training Organisations current at the time of assessment.</w:t>
            </w:r>
          </w:p>
          <w:p w:rsidR="00000000" w:rsidRPr="00812BA9" w:rsidP="00812BA9">
            <w:pPr>
              <w:pStyle w:val="BodyText"/>
            </w:pPr>
            <w:r w:rsidRPr="00812BA9">
              <w:t>Assessment must occur in workplace operational situations where it is appropriate to do so; where this is not appropriate, assessment must occur in simulated workpla</w:t>
            </w:r>
            <w:r w:rsidRPr="00812BA9">
              <w:t>ce operational situations that replicate workplace conditions.</w:t>
            </w:r>
          </w:p>
          <w:p w:rsidR="00000000" w:rsidRPr="00812BA9" w:rsidP="00812BA9">
            <w:pPr>
              <w:pStyle w:val="BodyText"/>
            </w:pPr>
            <w:r w:rsidRPr="00812BA9">
              <w:t xml:space="preserve">Assessment processes and techniques must be appropriate to the language, literacy and numeracy </w:t>
            </w:r>
            <w:r w:rsidRPr="00812BA9">
              <w:t>requirements of the work being performed and the needs of the candidate.</w:t>
            </w:r>
          </w:p>
          <w:p w:rsidR="00000000" w:rsidRPr="00812BA9" w:rsidP="00812BA9">
            <w:pPr>
              <w:pStyle w:val="BodyText"/>
            </w:pPr>
            <w:r w:rsidRPr="00812BA9">
              <w:t xml:space="preserve">Resources for assessment </w:t>
            </w:r>
            <w:r w:rsidRPr="00812BA9">
              <w:t>must include access to:</w:t>
            </w:r>
          </w:p>
          <w:p w:rsidR="00000000" w:rsidRPr="00812BA9" w:rsidP="00812BA9">
            <w:pPr>
              <w:pStyle w:val="ListBullet"/>
            </w:pPr>
            <w:r w:rsidRPr="00812BA9">
              <w:t>relevant and appropriate materials, tools, equipment and personal protective equipment currently used in industry</w:t>
            </w:r>
          </w:p>
          <w:p w:rsidR="00000000" w:rsidRPr="00812BA9" w:rsidP="00812BA9">
            <w:pPr>
              <w:pStyle w:val="ListBullet"/>
            </w:pPr>
            <w:r w:rsidRPr="00812BA9">
              <w:t>applicable documentation including legislation, regulations, codes of practice, workplace procedures and operation ma</w:t>
            </w:r>
            <w:r w:rsidRPr="00812BA9">
              <w:t>nuals.</w:t>
            </w:r>
          </w:p>
        </w:tc>
      </w:tr>
    </w:tbl>
    <w:p w:rsidR="00000000" w:rsidRPr="00812BA9" w:rsidP="00812BA9">
      <w:pPr>
        <w:pStyle w:val="NoPaddingFontSize1"/>
      </w:pPr>
    </w:p>
    <w:p w:rsidR="00000000" w:rsidRPr="00812BA9" w:rsidP="00812BA9">
      <w:pPr>
        <w:pStyle w:val="AllowPageBreak"/>
      </w:pPr>
    </w:p>
    <w:p w:rsidR="00000000" w:rsidRPr="00812BA9" w:rsidP="00812BA9">
      <w:pPr>
        <w:pStyle w:val="Heading1"/>
      </w:pPr>
      <w:bookmarkStart w:id="5" w:name="O_1122459"/>
      <w:bookmarkEnd w:id="5"/>
      <w:r w:rsidRPr="00812BA9">
        <w:t>Links</w:t>
      </w:r>
    </w:p>
    <w:p w:rsidR="00000000" w:rsidRPr="00812BA9" w:rsidP="00C640D5">
      <w:pPr>
        <w:pStyle w:val="BodyText"/>
      </w:pPr>
      <w:r w:rsidRPr="00812B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041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12BA9" w:rsidP="00812BA9"/>
    <w:sectPr w:rsidSect="00812B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 w:rsidRPr="00C640D5" w:rsidP="00C64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5" w:rsidP="00812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40D5" w:rsidP="00812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40D5" w:rsidP="00812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BA9" w:rsidRPr="00C640D5" w:rsidP="00C64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D5" w:rsidRPr="002D2AF8" w:rsidP="00812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NWPHYD006 Measure discharge and process discharge data using a range of methods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640D5" w:rsidP="00812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0B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6C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A6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BA9"/>
  </w:style>
  <w:style w:type="character" w:customStyle="1" w:styleId="Heading1Char">
    <w:name w:val="Heading 1 Char"/>
    <w:basedOn w:val="DefaultParagraphFont"/>
    <w:link w:val="Heading1"/>
    <w:rsid w:val="00812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B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B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2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BA9"/>
    <w:rPr>
      <w:b/>
      <w:spacing w:val="0"/>
    </w:rPr>
  </w:style>
  <w:style w:type="paragraph" w:customStyle="1" w:styleId="SuperTitle">
    <w:name w:val="SuperTitle"/>
    <w:basedOn w:val="Title"/>
    <w:rsid w:val="00812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B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BA9"/>
    <w:rPr>
      <w:i/>
    </w:rPr>
  </w:style>
  <w:style w:type="paragraph" w:styleId="Caption">
    <w:name w:val="caption"/>
    <w:basedOn w:val="BodyText"/>
    <w:next w:val="Normal"/>
    <w:qFormat/>
    <w:rsid w:val="00812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BA9"/>
  </w:style>
  <w:style w:type="paragraph" w:styleId="TableofFigures">
    <w:name w:val="table of figures"/>
    <w:basedOn w:val="Normal"/>
    <w:next w:val="Normal"/>
    <w:semiHidden/>
    <w:rsid w:val="00812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BA9"/>
    <w:rPr>
      <w:rFonts w:ascii="Wingdings" w:hAnsi="Wingdings"/>
    </w:rPr>
  </w:style>
  <w:style w:type="paragraph" w:customStyle="1" w:styleId="TableHeading">
    <w:name w:val="Table Heading"/>
    <w:basedOn w:val="HeadingBase"/>
    <w:rsid w:val="00812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BA9"/>
    <w:rPr>
      <w:color w:val="0033CC"/>
      <w:u w:val="none"/>
    </w:rPr>
  </w:style>
  <w:style w:type="paragraph" w:customStyle="1" w:styleId="BodyTextRight">
    <w:name w:val="Body Text Right"/>
    <w:basedOn w:val="BodyText"/>
    <w:rsid w:val="00812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BA9"/>
    <w:rPr>
      <w:sz w:val="32"/>
    </w:rPr>
  </w:style>
  <w:style w:type="paragraph" w:customStyle="1" w:styleId="HeadingProcedure">
    <w:name w:val="Heading Procedure"/>
    <w:basedOn w:val="HeadingBase"/>
    <w:next w:val="Normal"/>
    <w:rsid w:val="00812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BA9"/>
    <w:pPr>
      <w:spacing w:before="60" w:after="60"/>
    </w:pPr>
  </w:style>
  <w:style w:type="paragraph" w:styleId="ListContinue">
    <w:name w:val="List Continue"/>
    <w:basedOn w:val="List"/>
    <w:rsid w:val="00812BA9"/>
    <w:pPr>
      <w:ind w:firstLine="0"/>
    </w:pPr>
  </w:style>
  <w:style w:type="paragraph" w:customStyle="1" w:styleId="ListNote">
    <w:name w:val="List Note"/>
    <w:basedOn w:val="List"/>
    <w:rsid w:val="00812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BA9"/>
    <w:rPr>
      <w:rFonts w:ascii="Courier New" w:hAnsi="Courier New"/>
    </w:rPr>
  </w:style>
  <w:style w:type="paragraph" w:customStyle="1" w:styleId="NoteBullet">
    <w:name w:val="Note Bullet"/>
    <w:basedOn w:val="Note"/>
    <w:rsid w:val="00812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BA9"/>
    <w:rPr>
      <w:b/>
      <w:smallCaps/>
    </w:rPr>
  </w:style>
  <w:style w:type="paragraph" w:customStyle="1" w:styleId="TableListNumber">
    <w:name w:val="Table List Number"/>
    <w:basedOn w:val="ListNumber"/>
    <w:rsid w:val="00812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BA9"/>
    <w:pPr>
      <w:numPr>
        <w:numId w:val="9"/>
      </w:numPr>
    </w:pPr>
  </w:style>
  <w:style w:type="paragraph" w:customStyle="1" w:styleId="ListAlpha2">
    <w:name w:val="List Alpha 2"/>
    <w:basedOn w:val="List2"/>
    <w:rsid w:val="00812BA9"/>
    <w:pPr>
      <w:numPr>
        <w:numId w:val="8"/>
      </w:numPr>
    </w:pPr>
  </w:style>
  <w:style w:type="paragraph" w:styleId="List2">
    <w:name w:val="List 2"/>
    <w:basedOn w:val="BodyText"/>
    <w:rsid w:val="00812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BA9"/>
    <w:pPr>
      <w:numPr>
        <w:numId w:val="4"/>
      </w:numPr>
    </w:pPr>
  </w:style>
  <w:style w:type="paragraph" w:styleId="ListContinue2">
    <w:name w:val="List Continue 2"/>
    <w:basedOn w:val="List2"/>
    <w:rsid w:val="00812BA9"/>
    <w:pPr>
      <w:ind w:firstLine="0"/>
    </w:pPr>
  </w:style>
  <w:style w:type="paragraph" w:styleId="ListContinue3">
    <w:name w:val="List Continue 3"/>
    <w:basedOn w:val="List3"/>
    <w:rsid w:val="00812BA9"/>
    <w:pPr>
      <w:ind w:left="1021" w:firstLine="0"/>
    </w:pPr>
  </w:style>
  <w:style w:type="paragraph" w:styleId="ListContinue4">
    <w:name w:val="List Continue 4"/>
    <w:basedOn w:val="List4"/>
    <w:rsid w:val="00812BA9"/>
    <w:pPr>
      <w:ind w:firstLine="0"/>
    </w:pPr>
  </w:style>
  <w:style w:type="paragraph" w:styleId="ListContinue5">
    <w:name w:val="List Continue 5"/>
    <w:basedOn w:val="List5"/>
    <w:rsid w:val="00812BA9"/>
    <w:pPr>
      <w:ind w:firstLine="0"/>
    </w:pPr>
  </w:style>
  <w:style w:type="paragraph" w:styleId="ListNumber3">
    <w:name w:val="List Number 3"/>
    <w:basedOn w:val="List3"/>
    <w:rsid w:val="00812BA9"/>
    <w:pPr>
      <w:numPr>
        <w:numId w:val="5"/>
      </w:numPr>
    </w:pPr>
  </w:style>
  <w:style w:type="paragraph" w:styleId="ListNumber4">
    <w:name w:val="List Number 4"/>
    <w:basedOn w:val="List4"/>
    <w:rsid w:val="00812BA9"/>
    <w:pPr>
      <w:numPr>
        <w:numId w:val="6"/>
      </w:numPr>
    </w:pPr>
  </w:style>
  <w:style w:type="paragraph" w:styleId="ListNumber5">
    <w:name w:val="List Number 5"/>
    <w:basedOn w:val="List5"/>
    <w:rsid w:val="00812BA9"/>
    <w:pPr>
      <w:numPr>
        <w:numId w:val="7"/>
      </w:numPr>
    </w:pPr>
  </w:style>
  <w:style w:type="paragraph" w:styleId="BlockText">
    <w:name w:val="Block Text"/>
    <w:basedOn w:val="Normal"/>
    <w:rsid w:val="00812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BA9"/>
    <w:rPr>
      <w:sz w:val="16"/>
      <w:vertAlign w:val="superscript"/>
    </w:rPr>
  </w:style>
  <w:style w:type="character" w:customStyle="1" w:styleId="Symbols">
    <w:name w:val="Symbols"/>
    <w:basedOn w:val="DefaultParagraphFont"/>
    <w:rsid w:val="00812BA9"/>
    <w:rPr>
      <w:rFonts w:ascii="Symbol" w:hAnsi="Symbol"/>
    </w:rPr>
  </w:style>
  <w:style w:type="character" w:customStyle="1" w:styleId="MenuOptions">
    <w:name w:val="Menu Options"/>
    <w:basedOn w:val="DefaultParagraphFont"/>
    <w:rsid w:val="00812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BA9"/>
    <w:rPr>
      <w:b/>
    </w:rPr>
  </w:style>
  <w:style w:type="character" w:customStyle="1" w:styleId="Underlined">
    <w:name w:val="Underlined"/>
    <w:basedOn w:val="DefaultParagraphFont"/>
    <w:rsid w:val="00812BA9"/>
    <w:rPr>
      <w:u w:val="single"/>
    </w:rPr>
  </w:style>
  <w:style w:type="paragraph" w:customStyle="1" w:styleId="TableBodyTextRight">
    <w:name w:val="Table Body Text Right"/>
    <w:basedOn w:val="TableBodyText"/>
    <w:rsid w:val="00812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BA9"/>
    <w:rPr>
      <w:sz w:val="18"/>
    </w:rPr>
  </w:style>
  <w:style w:type="paragraph" w:customStyle="1" w:styleId="BodySmallRight">
    <w:name w:val="Body Small Right"/>
    <w:basedOn w:val="BodyTextRight"/>
    <w:rsid w:val="00812BA9"/>
    <w:rPr>
      <w:sz w:val="18"/>
      <w:szCs w:val="18"/>
    </w:rPr>
  </w:style>
  <w:style w:type="paragraph" w:customStyle="1" w:styleId="MarginEdition">
    <w:name w:val="Margin Edition"/>
    <w:basedOn w:val="MarginNote"/>
    <w:rsid w:val="00812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BA9"/>
    <w:rPr>
      <w:sz w:val="2"/>
      <w:szCs w:val="2"/>
    </w:rPr>
  </w:style>
  <w:style w:type="character" w:customStyle="1" w:styleId="Small">
    <w:name w:val="Small"/>
    <w:basedOn w:val="DefaultParagraphFont"/>
    <w:rsid w:val="00812BA9"/>
    <w:rPr>
      <w:sz w:val="16"/>
    </w:rPr>
  </w:style>
  <w:style w:type="paragraph" w:customStyle="1" w:styleId="WideTable">
    <w:name w:val="Wide Table"/>
    <w:basedOn w:val="Normal"/>
    <w:rsid w:val="00812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BA9"/>
  </w:style>
  <w:style w:type="paragraph" w:styleId="Quote">
    <w:name w:val="Quote"/>
    <w:basedOn w:val="Heading1"/>
    <w:link w:val="QuoteChar"/>
    <w:qFormat/>
    <w:rsid w:val="00812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BA9"/>
    <w:pPr>
      <w:pageBreakBefore/>
    </w:pPr>
  </w:style>
  <w:style w:type="paragraph" w:customStyle="1" w:styleId="Border">
    <w:name w:val="Border"/>
    <w:basedOn w:val="Normal"/>
    <w:qFormat/>
    <w:rsid w:val="00812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BA9"/>
    <w:rPr>
      <w:u w:val="single"/>
    </w:rPr>
  </w:style>
  <w:style w:type="character" w:customStyle="1" w:styleId="BoldandItalics">
    <w:name w:val="Bold and Italics"/>
    <w:qFormat/>
    <w:rsid w:val="00812BA9"/>
    <w:rPr>
      <w:b/>
      <w:i/>
      <w:u w:val="none"/>
    </w:rPr>
  </w:style>
  <w:style w:type="paragraph" w:styleId="BalloonText">
    <w:name w:val="Balloon Text"/>
    <w:basedOn w:val="Normal"/>
    <w:link w:val="BalloonTextChar"/>
    <w:rsid w:val="00812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BA9"/>
    <w:pPr>
      <w:spacing w:before="0" w:after="0"/>
    </w:pPr>
  </w:style>
  <w:style w:type="paragraph" w:customStyle="1" w:styleId="BodyTextBold">
    <w:name w:val="Body Text Bold"/>
    <w:basedOn w:val="BodyText"/>
    <w:qFormat/>
    <w:rsid w:val="00812BA9"/>
    <w:rPr>
      <w:b/>
    </w:rPr>
  </w:style>
  <w:style w:type="character" w:styleId="Hyperlink">
    <w:name w:val="Hyperlink"/>
    <w:basedOn w:val="DefaultParagraphFont"/>
    <w:uiPriority w:val="99"/>
    <w:unhideWhenUsed/>
    <w:rsid w:val="00C64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3906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NWPHYD006 Measure discharge and process discharge data using a range of methods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