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A67" w:rsidP="00567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NWPGEN032 Ensure compliance with water industry standards, guidelines and legislation</w:t>
      </w:r>
      <w:r>
        <w:fldChar w:fldCharType="end"/>
      </w:r>
    </w:p>
    <w:p w:rsidR="00567A67" w:rsidP="00567A67">
      <w:pPr>
        <w:pStyle w:val="Version"/>
        <w:sectPr w:rsidSect="00072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FFA" w:rsidP="00072FFA">
      <w:pPr>
        <w:pStyle w:val="SuperHeading"/>
      </w:pPr>
      <w:r w:rsidRPr="00072FFA">
        <w:t>NWPGEN032 Ensure compliance with water industry standards, guidelines and legislation</w:t>
      </w:r>
    </w:p>
    <w:p w:rsidR="00000000" w:rsidRPr="00072FFA" w:rsidP="00072FFA">
      <w:pPr>
        <w:pStyle w:val="Heading1"/>
      </w:pPr>
      <w:bookmarkStart w:id="1" w:name="O_1122405"/>
      <w:bookmarkEnd w:id="1"/>
      <w:r w:rsidRPr="00072F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>Release 1. This is the first release of this unit of competency in the NWP National Water Training Package.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2" w:name="O_1122406"/>
      <w:bookmarkEnd w:id="2"/>
      <w:r w:rsidRPr="00072F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>This unit involves the skills and knowledge required to ensure compliance with water industry standards, guidelines and legislation.</w:t>
            </w:r>
          </w:p>
          <w:p w:rsidR="00000000" w:rsidRPr="00072FFA" w:rsidP="00072FFA">
            <w:pPr>
              <w:pStyle w:val="BodyText"/>
            </w:pPr>
            <w:r w:rsidRPr="00072FFA">
              <w:t>It includes complying with risk management principles and standards established in national and state guideline</w:t>
            </w:r>
            <w:r w:rsidRPr="00072FFA">
              <w:t>s and legislation for water, sewage and recycling which contribute to the improved management of water supply systems and the reduction of water quality risks for water supplies.</w:t>
            </w:r>
          </w:p>
          <w:p w:rsidR="00000000" w:rsidRPr="00072FFA" w:rsidP="00072FFA">
            <w:pPr>
              <w:pStyle w:val="BodyText"/>
            </w:pPr>
            <w:r w:rsidRPr="00072FFA">
              <w:t xml:space="preserve">This unit applies to those working in all roles in the water industry. Those </w:t>
            </w:r>
            <w:r w:rsidRPr="00072FFA">
              <w:t>undertaking this unit would work autonomously, usually with supervisory responsibilities, while performing complex tasks in a range of contexts.</w:t>
            </w:r>
          </w:p>
          <w:p w:rsidR="00000000" w:rsidRPr="00072FFA" w:rsidP="00072FFA">
            <w:pPr>
              <w:pStyle w:val="BodyText"/>
            </w:pPr>
            <w:r w:rsidRPr="00072FFA">
              <w:t>No licensing, legislative or certification requirements apply to this unit at the time of publication.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3" w:name="O_1122407"/>
      <w:bookmarkEnd w:id="3"/>
      <w:r w:rsidRPr="00072F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>Not applicable.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4" w:name="O_1122408"/>
      <w:bookmarkEnd w:id="4"/>
      <w:r w:rsidRPr="00072F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>General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5" w:name="O_1122409"/>
      <w:bookmarkEnd w:id="5"/>
      <w:r w:rsidRPr="00072F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>Not applicable.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6" w:name="O_1122410"/>
      <w:bookmarkEnd w:id="6"/>
      <w:r w:rsidRPr="00072F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PERFORMANCE CRITERIA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Performance criteria describe the performance needed to demonstrate achievement of the element.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rPr>
                <w:rStyle w:val="SpecialBold"/>
              </w:rPr>
              <w:t xml:space="preserve">Interpret key legislation and guidelines of the </w:t>
            </w:r>
            <w:r w:rsidRPr="00072FFA">
              <w:rPr>
                <w:rStyle w:val="SpecialBold"/>
              </w:rPr>
              <w:t>water industry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 xml:space="preserve">Access and interpret the relevant guidelines </w:t>
            </w:r>
            <w:r w:rsidRPr="00072FFA">
              <w:t xml:space="preserve">and </w:t>
            </w:r>
            <w:r w:rsidRPr="00072FFA">
              <w:t>legislative requirements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Analyse the key features or elements of the guidelines and legislation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Determine the relationships between the guidelines and the state and territory requirements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rPr>
                <w:rStyle w:val="SpecialBold"/>
              </w:rPr>
              <w:t>Lead compliance with legislation and reporting function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Interpret organisational standards and processes for reporting compliance with legislative requirements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Integrate legislative requirements into organisational water quality management plan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Identify the links between the regulatory framework and work practices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Identify the importance of multiple barrier principles and their general functions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Identify hazards, assess risks and implement control measures according to workplace procedures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Collate relevant collected data to support compliance with legislation and review for completeness and accuracy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Refine and disseminate compliance reporting procedures to relevant personnel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rPr>
                <w:rStyle w:val="SpecialBold"/>
              </w:rPr>
              <w:t xml:space="preserve">Communicate compliance with legislation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Monitor and report compliance to relevant personnel according to workplace procedures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Take corrective actions on areas of non-compliance according to workplace procedures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t>Communicate compliance issues to team members</w:t>
            </w:r>
          </w:p>
        </w:tc>
      </w:tr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FFA">
            <w:pPr>
              <w:pStyle w:val="BodyText"/>
              <w:rPr>
                <w:lang w:val="en-NZ"/>
              </w:rPr>
            </w:pPr>
            <w:r w:rsidRPr="00072FF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 xml:space="preserve">Review operational procedures and make recommendations for future preventive measures 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7" w:name="O_1122411"/>
      <w:bookmarkEnd w:id="7"/>
      <w:r w:rsidRPr="00072FFA">
        <w:t>Fo</w:t>
      </w:r>
      <w:r w:rsidRPr="00072FFA">
        <w:t>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>Foundation skills essential to performance are explicit in the performance criteria of this unit of competency.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8" w:name="O_1122412"/>
      <w:bookmarkEnd w:id="8"/>
      <w:r w:rsidRPr="00072F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>Range is restricted to essential operating conditions and any other variables essential to the work environment.</w:t>
            </w:r>
          </w:p>
          <w:p w:rsidR="00000000" w:rsidRPr="00072FFA" w:rsidP="00072FFA">
            <w:pPr>
              <w:pStyle w:val="BodyText"/>
            </w:pPr>
            <w:r w:rsidRPr="00072FFA">
              <w:t>Non-essential conditions may be found in the Companion Volume Implementation Guide.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9" w:name="O_1122413"/>
      <w:bookmarkEnd w:id="9"/>
      <w:r w:rsidRPr="00072F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F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FFA" w:rsidP="00072FFA">
            <w:pPr>
              <w:pStyle w:val="BodyText"/>
            </w:pPr>
            <w:r w:rsidRPr="00072FFA">
              <w:t>This unit re</w:t>
            </w:r>
            <w:r w:rsidRPr="00072FFA">
              <w:t>places and is equivalent to NWPGEN002 Ensure compliance with water industry standards, guidelines and legislation.</w:t>
            </w:r>
          </w:p>
        </w:tc>
      </w:tr>
    </w:tbl>
    <w:p w:rsidR="00567A67" w:rsidP="00072FFA">
      <w:pPr>
        <w:pStyle w:val="NoPaddingFontSize1"/>
      </w:pPr>
    </w:p>
    <w:p w:rsidR="00567A67" w:rsidP="00072FFA">
      <w:pPr>
        <w:pStyle w:val="NoPaddingFontSize1"/>
      </w:pPr>
    </w:p>
    <w:p w:rsidR="00000000" w:rsidRPr="00072FFA" w:rsidP="00072FFA">
      <w:pPr>
        <w:pStyle w:val="Heading1"/>
      </w:pPr>
      <w:bookmarkStart w:id="10" w:name="O_1122420"/>
      <w:bookmarkEnd w:id="10"/>
      <w:r w:rsidRPr="00072FFA">
        <w:t>Links</w:t>
      </w:r>
    </w:p>
    <w:p w:rsidR="00000000" w:rsidRPr="00072FFA" w:rsidP="00567A67">
      <w:pPr>
        <w:pStyle w:val="BodyText"/>
      </w:pPr>
      <w:r w:rsidRPr="00072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0779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72FFA" w:rsidP="00072FFA"/>
    <w:sectPr w:rsidSect="00072F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FA" w:rsidRPr="00567A67" w:rsidP="00567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67" w:rsidP="00072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A67" w:rsidP="00072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7A67" w:rsidP="00072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FFA" w:rsidRPr="00567A67" w:rsidP="00567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67" w:rsidRPr="002D2AF8" w:rsidP="00072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NWPGEN032 Ensure compliance with water industry standards, guidelines and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67A67" w:rsidP="00072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FFA"/>
  </w:style>
  <w:style w:type="character" w:customStyle="1" w:styleId="Heading1Char">
    <w:name w:val="Heading 1 Char"/>
    <w:basedOn w:val="DefaultParagraphFont"/>
    <w:link w:val="Heading1"/>
    <w:rsid w:val="00072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F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2FFA"/>
    <w:rPr>
      <w:b/>
      <w:spacing w:val="0"/>
    </w:rPr>
  </w:style>
  <w:style w:type="paragraph" w:customStyle="1" w:styleId="SuperHeading">
    <w:name w:val="SuperHeading"/>
    <w:basedOn w:val="Normal"/>
    <w:rsid w:val="00072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2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F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2F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2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F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F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FFA"/>
    <w:rPr>
      <w:i/>
    </w:rPr>
  </w:style>
  <w:style w:type="paragraph" w:styleId="Caption">
    <w:name w:val="caption"/>
    <w:basedOn w:val="BodyText"/>
    <w:next w:val="Normal"/>
    <w:qFormat/>
    <w:rsid w:val="00072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FFA"/>
  </w:style>
  <w:style w:type="paragraph" w:styleId="TableofFigures">
    <w:name w:val="table of figures"/>
    <w:basedOn w:val="Normal"/>
    <w:next w:val="Normal"/>
    <w:semiHidden/>
    <w:rsid w:val="00072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F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2FFA"/>
    <w:rPr>
      <w:rFonts w:ascii="Wingdings" w:hAnsi="Wingdings"/>
    </w:rPr>
  </w:style>
  <w:style w:type="paragraph" w:customStyle="1" w:styleId="TableHeading">
    <w:name w:val="Table Heading"/>
    <w:basedOn w:val="HeadingBase"/>
    <w:rsid w:val="00072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FFA"/>
    <w:rPr>
      <w:color w:val="0033CC"/>
      <w:u w:val="none"/>
    </w:rPr>
  </w:style>
  <w:style w:type="paragraph" w:customStyle="1" w:styleId="BodyTextRight">
    <w:name w:val="Body Text Right"/>
    <w:basedOn w:val="BodyText"/>
    <w:rsid w:val="00072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F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FFA"/>
    <w:rPr>
      <w:sz w:val="32"/>
    </w:rPr>
  </w:style>
  <w:style w:type="paragraph" w:customStyle="1" w:styleId="HeadingProcedure">
    <w:name w:val="Heading Procedure"/>
    <w:basedOn w:val="HeadingBase"/>
    <w:next w:val="Normal"/>
    <w:rsid w:val="00072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FFA"/>
    <w:pPr>
      <w:spacing w:before="60" w:after="60"/>
    </w:pPr>
  </w:style>
  <w:style w:type="paragraph" w:styleId="ListContinue">
    <w:name w:val="List Continue"/>
    <w:basedOn w:val="List"/>
    <w:rsid w:val="00072FFA"/>
    <w:pPr>
      <w:ind w:firstLine="0"/>
    </w:pPr>
  </w:style>
  <w:style w:type="paragraph" w:customStyle="1" w:styleId="ListNote">
    <w:name w:val="List Note"/>
    <w:basedOn w:val="List"/>
    <w:rsid w:val="00072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FFA"/>
    <w:rPr>
      <w:rFonts w:ascii="Courier New" w:hAnsi="Courier New"/>
    </w:rPr>
  </w:style>
  <w:style w:type="paragraph" w:customStyle="1" w:styleId="NoteBullet">
    <w:name w:val="Note Bullet"/>
    <w:basedOn w:val="Note"/>
    <w:rsid w:val="00072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F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2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FFA"/>
    <w:rPr>
      <w:b/>
      <w:smallCaps/>
    </w:rPr>
  </w:style>
  <w:style w:type="paragraph" w:customStyle="1" w:styleId="TableListNumber">
    <w:name w:val="Table List Number"/>
    <w:basedOn w:val="ListNumber"/>
    <w:rsid w:val="00072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FFA"/>
    <w:pPr>
      <w:numPr>
        <w:numId w:val="7"/>
      </w:numPr>
    </w:pPr>
  </w:style>
  <w:style w:type="paragraph" w:customStyle="1" w:styleId="ListAlpha2">
    <w:name w:val="List Alpha 2"/>
    <w:basedOn w:val="List2"/>
    <w:rsid w:val="00072FFA"/>
    <w:pPr>
      <w:numPr>
        <w:numId w:val="6"/>
      </w:numPr>
    </w:pPr>
  </w:style>
  <w:style w:type="paragraph" w:styleId="List2">
    <w:name w:val="List 2"/>
    <w:basedOn w:val="BodyText"/>
    <w:rsid w:val="00072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F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F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2FFA"/>
    <w:pPr>
      <w:numPr>
        <w:numId w:val="2"/>
      </w:numPr>
    </w:pPr>
  </w:style>
  <w:style w:type="paragraph" w:styleId="ListContinue2">
    <w:name w:val="List Continue 2"/>
    <w:basedOn w:val="List2"/>
    <w:rsid w:val="00072FFA"/>
    <w:pPr>
      <w:ind w:firstLine="0"/>
    </w:pPr>
  </w:style>
  <w:style w:type="paragraph" w:styleId="ListContinue3">
    <w:name w:val="List Continue 3"/>
    <w:basedOn w:val="List3"/>
    <w:rsid w:val="00072FFA"/>
    <w:pPr>
      <w:ind w:left="1021" w:firstLine="0"/>
    </w:pPr>
  </w:style>
  <w:style w:type="paragraph" w:styleId="ListContinue4">
    <w:name w:val="List Continue 4"/>
    <w:basedOn w:val="List4"/>
    <w:rsid w:val="00072FFA"/>
    <w:pPr>
      <w:ind w:firstLine="0"/>
    </w:pPr>
  </w:style>
  <w:style w:type="paragraph" w:styleId="ListContinue5">
    <w:name w:val="List Continue 5"/>
    <w:basedOn w:val="List5"/>
    <w:rsid w:val="00072FFA"/>
    <w:pPr>
      <w:ind w:firstLine="0"/>
    </w:pPr>
  </w:style>
  <w:style w:type="paragraph" w:styleId="ListNumber3">
    <w:name w:val="List Number 3"/>
    <w:basedOn w:val="List3"/>
    <w:rsid w:val="00072FFA"/>
    <w:pPr>
      <w:numPr>
        <w:numId w:val="3"/>
      </w:numPr>
    </w:pPr>
  </w:style>
  <w:style w:type="paragraph" w:styleId="ListNumber4">
    <w:name w:val="List Number 4"/>
    <w:basedOn w:val="List4"/>
    <w:rsid w:val="00072FFA"/>
    <w:pPr>
      <w:numPr>
        <w:numId w:val="4"/>
      </w:numPr>
    </w:pPr>
  </w:style>
  <w:style w:type="paragraph" w:styleId="ListNumber5">
    <w:name w:val="List Number 5"/>
    <w:basedOn w:val="List5"/>
    <w:rsid w:val="00072FFA"/>
    <w:pPr>
      <w:numPr>
        <w:numId w:val="5"/>
      </w:numPr>
    </w:pPr>
  </w:style>
  <w:style w:type="paragraph" w:styleId="BlockText">
    <w:name w:val="Block Text"/>
    <w:basedOn w:val="Normal"/>
    <w:rsid w:val="00072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FFA"/>
    <w:rPr>
      <w:sz w:val="16"/>
      <w:vertAlign w:val="superscript"/>
    </w:rPr>
  </w:style>
  <w:style w:type="character" w:customStyle="1" w:styleId="Symbols">
    <w:name w:val="Symbols"/>
    <w:basedOn w:val="DefaultParagraphFont"/>
    <w:rsid w:val="00072FFA"/>
    <w:rPr>
      <w:rFonts w:ascii="Symbol" w:hAnsi="Symbol"/>
    </w:rPr>
  </w:style>
  <w:style w:type="character" w:customStyle="1" w:styleId="MenuOptions">
    <w:name w:val="Menu Options"/>
    <w:basedOn w:val="DefaultParagraphFont"/>
    <w:rsid w:val="00072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FFA"/>
    <w:rPr>
      <w:b/>
    </w:rPr>
  </w:style>
  <w:style w:type="character" w:customStyle="1" w:styleId="Underlined">
    <w:name w:val="Underlined"/>
    <w:basedOn w:val="DefaultParagraphFont"/>
    <w:rsid w:val="00072FFA"/>
    <w:rPr>
      <w:u w:val="single"/>
    </w:rPr>
  </w:style>
  <w:style w:type="paragraph" w:customStyle="1" w:styleId="TableBodyTextRight">
    <w:name w:val="Table Body Text Right"/>
    <w:basedOn w:val="TableBodyText"/>
    <w:rsid w:val="00072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FFA"/>
    <w:rPr>
      <w:sz w:val="18"/>
    </w:rPr>
  </w:style>
  <w:style w:type="paragraph" w:customStyle="1" w:styleId="BodySmallRight">
    <w:name w:val="Body Small Right"/>
    <w:basedOn w:val="BodyTextRight"/>
    <w:rsid w:val="00072FFA"/>
    <w:rPr>
      <w:sz w:val="18"/>
      <w:szCs w:val="18"/>
    </w:rPr>
  </w:style>
  <w:style w:type="paragraph" w:customStyle="1" w:styleId="MarginEdition">
    <w:name w:val="Margin Edition"/>
    <w:basedOn w:val="MarginNote"/>
    <w:rsid w:val="00072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FFA"/>
    <w:rPr>
      <w:sz w:val="2"/>
      <w:szCs w:val="2"/>
    </w:rPr>
  </w:style>
  <w:style w:type="character" w:customStyle="1" w:styleId="Small">
    <w:name w:val="Small"/>
    <w:basedOn w:val="DefaultParagraphFont"/>
    <w:rsid w:val="00072FFA"/>
    <w:rPr>
      <w:sz w:val="16"/>
    </w:rPr>
  </w:style>
  <w:style w:type="paragraph" w:customStyle="1" w:styleId="WideTable">
    <w:name w:val="Wide Table"/>
    <w:basedOn w:val="Normal"/>
    <w:rsid w:val="00072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FFA"/>
  </w:style>
  <w:style w:type="paragraph" w:styleId="Quote">
    <w:name w:val="Quote"/>
    <w:basedOn w:val="Heading1"/>
    <w:link w:val="QuoteChar"/>
    <w:qFormat/>
    <w:rsid w:val="00072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FFA"/>
    <w:pPr>
      <w:pageBreakBefore/>
    </w:pPr>
  </w:style>
  <w:style w:type="paragraph" w:customStyle="1" w:styleId="Border">
    <w:name w:val="Border"/>
    <w:basedOn w:val="Normal"/>
    <w:qFormat/>
    <w:rsid w:val="00072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FFA"/>
    <w:rPr>
      <w:u w:val="single"/>
    </w:rPr>
  </w:style>
  <w:style w:type="character" w:customStyle="1" w:styleId="BoldandItalics">
    <w:name w:val="Bold and Italics"/>
    <w:qFormat/>
    <w:rsid w:val="00072FFA"/>
    <w:rPr>
      <w:b/>
      <w:i/>
      <w:u w:val="none"/>
    </w:rPr>
  </w:style>
  <w:style w:type="paragraph" w:styleId="BalloonText">
    <w:name w:val="Balloon Text"/>
    <w:basedOn w:val="Normal"/>
    <w:link w:val="BalloonTextChar"/>
    <w:rsid w:val="00072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FFA"/>
    <w:pPr>
      <w:spacing w:before="0" w:after="0"/>
    </w:pPr>
  </w:style>
  <w:style w:type="paragraph" w:customStyle="1" w:styleId="BodyTextBold">
    <w:name w:val="Body Text Bold"/>
    <w:basedOn w:val="BodyText"/>
    <w:qFormat/>
    <w:rsid w:val="00072FFA"/>
    <w:rPr>
      <w:b/>
    </w:rPr>
  </w:style>
  <w:style w:type="character" w:styleId="Hyperlink">
    <w:name w:val="Hyperlink"/>
    <w:basedOn w:val="DefaultParagraphFont"/>
    <w:uiPriority w:val="99"/>
    <w:unhideWhenUsed/>
    <w:rsid w:val="00567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3159</Characters>
  <Application>Microsoft Office Word</Application>
  <DocSecurity>0</DocSecurity>
  <Lines>150</Lines>
  <Paragraphs>77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NWPGEN032 Ensure compliance with water industry standards, guidelines and legislation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2022-12-07T01:59:00Z</dcterms:created>
  <dcterms:modified xsi:type="dcterms:W3CDTF">2022-12-07T01:59:00Z</dcterms:modified>
</cp:coreProperties>
</file>