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9F7" w:rsidP="002B5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NWPGEN032 Ensure compliance with water industry standards, guidelines and legislation</w:t>
      </w:r>
      <w:r>
        <w:fldChar w:fldCharType="end"/>
      </w:r>
    </w:p>
    <w:p w:rsidR="002B59F7" w:rsidP="002B59F7">
      <w:pPr>
        <w:pStyle w:val="Version"/>
        <w:sectPr w:rsidSect="00C51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DA1" w:rsidP="00C51DA1">
      <w:pPr>
        <w:pStyle w:val="SuperHeading"/>
      </w:pPr>
      <w:r w:rsidRPr="00C51DA1">
        <w:t>NWPGEN032 Ensure compliance with water industry standards, guidelines and legislation</w:t>
      </w:r>
    </w:p>
    <w:p w:rsidR="00000000" w:rsidRPr="00C51DA1" w:rsidP="00C51DA1">
      <w:pPr>
        <w:pStyle w:val="Heading1"/>
      </w:pPr>
      <w:bookmarkStart w:id="1" w:name="O_1122405"/>
      <w:bookmarkEnd w:id="1"/>
      <w:r w:rsidRPr="00C51D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t>Release 1. This is the first release of this unit of competency in the NWP National Water Training Package.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2" w:name="O_1122406"/>
      <w:bookmarkEnd w:id="2"/>
      <w:r w:rsidRPr="00C51D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t>This unit involves the skills and knowledge required to ensure compliance with water industry standards, guidelines and legislation.</w:t>
            </w:r>
          </w:p>
          <w:p w:rsidR="00000000" w:rsidRPr="00C51DA1" w:rsidP="00C51DA1">
            <w:pPr>
              <w:pStyle w:val="BodyText"/>
            </w:pPr>
            <w:r w:rsidRPr="00C51DA1">
              <w:t>It includes complying with risk management principles and standards established in national and state guideline</w:t>
            </w:r>
            <w:r w:rsidRPr="00C51DA1">
              <w:t>s and legislation for water, sewage and recycling which contribute to the improved management of water supply systems and the reduction of water quality risks for water supplies.</w:t>
            </w:r>
          </w:p>
          <w:p w:rsidR="00000000" w:rsidRPr="00C51DA1" w:rsidP="00C51DA1">
            <w:pPr>
              <w:pStyle w:val="BodyText"/>
            </w:pPr>
            <w:r w:rsidRPr="00C51DA1">
              <w:t xml:space="preserve">This unit applies to those working in all roles in the water industry. Those </w:t>
            </w:r>
            <w:r w:rsidRPr="00C51DA1">
              <w:t>undertaking this unit would work autonomously, usually with supervisory responsibilities, while performing complex tasks in a range of contexts.</w:t>
            </w:r>
          </w:p>
          <w:p w:rsidR="00000000" w:rsidRPr="00C51DA1" w:rsidP="00C51DA1">
            <w:pPr>
              <w:pStyle w:val="BodyText"/>
            </w:pPr>
            <w:r w:rsidRPr="00C51DA1">
              <w:t>No licensing, legislative or certification requirements apply to this unit at the time of publication.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3" w:name="O_1122407"/>
      <w:bookmarkEnd w:id="3"/>
      <w:r w:rsidRPr="00C51D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t>Not applicable.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4" w:name="O_1122408"/>
      <w:bookmarkEnd w:id="4"/>
      <w:r w:rsidRPr="00C51D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t>General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5" w:name="O_1122409"/>
      <w:bookmarkEnd w:id="5"/>
      <w:r w:rsidRPr="00C51D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t>Not applicable.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6" w:name="O_1122410"/>
      <w:bookmarkEnd w:id="6"/>
      <w:r w:rsidRPr="00C51DA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PERFORMANCE CRITERIA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Elements describ</w:t>
            </w:r>
            <w:r w:rsidRPr="00C51DA1">
              <w:t>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Performance criteria describe the performance needed to demonstrate achievement of the element.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rPr>
                <w:rStyle w:val="SpecialBold"/>
              </w:rPr>
              <w:t xml:space="preserve">Interpret key legislation and guidelines of the </w:t>
            </w:r>
            <w:r w:rsidRPr="00C51DA1">
              <w:rPr>
                <w:rStyle w:val="SpecialBold"/>
              </w:rPr>
              <w:t>water industry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 xml:space="preserve">Access and interpret the relevant guidelines and </w:t>
            </w:r>
            <w:r w:rsidRPr="00C51DA1">
              <w:t xml:space="preserve">legislative </w:t>
            </w:r>
            <w:r w:rsidRPr="00C51DA1">
              <w:t>requirements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Analyse the key features or elements of the guidelines and legislation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Determine the relationships between the guidelines and the state and territory requirements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rPr>
                <w:rStyle w:val="SpecialBold"/>
              </w:rPr>
              <w:t>Lead compliance with legislation and reporting function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Interpret organisational standards and processes for reporting compliance with legislative requirements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Integrate legislative requirements into organisational water quality management plan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Identify the links between the regulatory framework a</w:t>
            </w:r>
            <w:r w:rsidRPr="00C51DA1">
              <w:t>nd work practices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Identify the importance of multiple barrier principles and their general functions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Identify hazards, assess risks and implement control measures according to workplace procedures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Collate relevant collected data to support compliance with legislation and review for completeness and accuracy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Refine and disseminate compliance reporting procedures to relevant personnel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rPr>
                <w:rStyle w:val="SpecialBold"/>
              </w:rPr>
              <w:t xml:space="preserve">Communicate compliance with legislation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Monitor and report compliance to relevant personnel according to workplace procedures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Take corrective actions on areas of non-compliance according to workplace procedures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Communicate compliance issues to team members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t xml:space="preserve">Review operational procedures and make recommendations for future preventive measures 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7" w:name="O_1122411"/>
      <w:bookmarkEnd w:id="7"/>
      <w:r w:rsidRPr="00C51D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t>Foundation skills essential to performance are explicit in the performance criteria of this unit of competency.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8" w:name="O_1122412"/>
      <w:bookmarkEnd w:id="8"/>
      <w:r w:rsidRPr="00C51D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t>Range is restricted to essential operating conditions and any other variables essential to the work environment.</w:t>
            </w:r>
          </w:p>
          <w:p w:rsidR="00000000" w:rsidRPr="00C51DA1" w:rsidP="00C51DA1">
            <w:pPr>
              <w:pStyle w:val="BodyText"/>
            </w:pPr>
            <w:r w:rsidRPr="00C51DA1">
              <w:t>Non-essential conditions may be found in the Companion Volume Implementation Guide.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9" w:name="O_1122413"/>
      <w:bookmarkEnd w:id="9"/>
      <w:r w:rsidRPr="00C51DA1">
        <w:t>Unit Map</w:t>
      </w:r>
      <w:r w:rsidRPr="00C51DA1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t>This unit replaces and is equivalent to NWPGEN002 Ensure compliance with water industry standards, guidelines and legislation.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10" w:name="O_1122420"/>
      <w:bookmarkEnd w:id="10"/>
      <w:r w:rsidRPr="00C51DA1">
        <w:t>Links</w:t>
      </w:r>
    </w:p>
    <w:p w:rsidR="00000000" w:rsidRPr="00C51DA1" w:rsidP="002B59F7">
      <w:pPr>
        <w:pStyle w:val="BodyText"/>
      </w:pPr>
      <w:r w:rsidRPr="00C51D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3014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51DA1" w:rsidP="002B59F7">
      <w:pPr>
        <w:pStyle w:val="BodyText"/>
        <w:sectPr w:rsidSect="00C51D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1DA1" w:rsidP="00C51DA1">
      <w:pPr>
        <w:pStyle w:val="SuperHeading"/>
      </w:pPr>
      <w:r w:rsidRPr="00C51DA1">
        <w:t>Assessment Requirements for NWPGEN032 Ensure compliance with water industry standards, guidelines and legislation</w:t>
      </w:r>
    </w:p>
    <w:p w:rsidR="00000000" w:rsidRPr="00C51DA1" w:rsidP="00C51DA1">
      <w:pPr>
        <w:pStyle w:val="Heading1"/>
      </w:pPr>
      <w:bookmarkStart w:id="11" w:name="O_1122415"/>
      <w:bookmarkEnd w:id="11"/>
      <w:r w:rsidRPr="00C51D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t>Release 1. This is the first release of this unit of competency in the NWP National Water Training Package.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12" w:name="O_1122416"/>
      <w:bookmarkEnd w:id="12"/>
      <w:r w:rsidRPr="00C51D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Evidence required to demonstrate competence in this unit must be relevant to and sat</w:t>
            </w:r>
            <w:r w:rsidRPr="00C51DA1">
              <w:t>isfy all the requirements of the elements and performance criteria on at least one occasion and includes: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ListBullet"/>
            </w:pPr>
            <w:r w:rsidRPr="00C51DA1">
              <w:t>accessing and interpreting risk management principles</w:t>
            </w:r>
          </w:p>
          <w:p w:rsidR="00000000" w:rsidRPr="00C51DA1" w:rsidP="00C51DA1">
            <w:pPr>
              <w:pStyle w:val="ListBullet"/>
            </w:pPr>
            <w:r w:rsidRPr="00C51DA1">
              <w:t>analysing records of water quality incidents</w:t>
            </w:r>
          </w:p>
          <w:p w:rsidR="00000000" w:rsidRPr="00C51DA1" w:rsidP="00C51DA1">
            <w:pPr>
              <w:pStyle w:val="ListBullet"/>
            </w:pPr>
            <w:r w:rsidRPr="00C51DA1">
              <w:t>collating and analysing data</w:t>
            </w:r>
          </w:p>
          <w:p w:rsidR="00000000" w:rsidRPr="00C51DA1" w:rsidP="00C51DA1">
            <w:pPr>
              <w:pStyle w:val="ListBullet"/>
            </w:pPr>
            <w:r w:rsidRPr="00C51DA1">
              <w:t>communicating principles of relevant guidelines and putting into context</w:t>
            </w:r>
          </w:p>
          <w:p w:rsidR="00000000" w:rsidRPr="00C51DA1" w:rsidP="00C51DA1">
            <w:pPr>
              <w:pStyle w:val="ListBullet"/>
            </w:pPr>
            <w:r w:rsidRPr="00C51DA1">
              <w:t>initiating problem solving</w:t>
            </w:r>
          </w:p>
          <w:p w:rsidR="00000000" w:rsidRPr="00C51DA1" w:rsidP="00C51DA1">
            <w:pPr>
              <w:pStyle w:val="ListBullet"/>
            </w:pPr>
            <w:r w:rsidRPr="00C51DA1">
              <w:t>integrating requirements of risk management plans</w:t>
            </w:r>
          </w:p>
          <w:p w:rsidR="00000000" w:rsidRPr="00C51DA1" w:rsidP="00C51DA1">
            <w:pPr>
              <w:pStyle w:val="ListBullet"/>
            </w:pPr>
            <w:r w:rsidRPr="00C51DA1">
              <w:t>interpreting, analysing and applying relevant legislative requirements, industry codes and standards</w:t>
            </w:r>
          </w:p>
          <w:p w:rsidR="00000000" w:rsidRPr="00C51DA1" w:rsidP="00C51DA1">
            <w:pPr>
              <w:pStyle w:val="ListBullet"/>
            </w:pPr>
            <w:r w:rsidRPr="00C51DA1">
              <w:t>manag</w:t>
            </w:r>
            <w:r w:rsidRPr="00C51DA1">
              <w:t>ing risk control measures</w:t>
            </w:r>
          </w:p>
          <w:p w:rsidR="00000000" w:rsidRPr="00C51DA1" w:rsidP="00C51DA1">
            <w:pPr>
              <w:pStyle w:val="ListBullet"/>
            </w:pPr>
            <w:r w:rsidRPr="00C51DA1">
              <w:t>providing advice and feedback</w:t>
            </w:r>
          </w:p>
        </w:tc>
      </w:tr>
    </w:tbl>
    <w:p w:rsidR="00000000" w:rsidRPr="00C51DA1" w:rsidP="00C51DA1">
      <w:pPr>
        <w:pStyle w:val="NoPaddingFontSize1"/>
      </w:pPr>
    </w:p>
    <w:p w:rsidR="00000000" w:rsidRPr="00C51DA1" w:rsidP="00C51DA1">
      <w:pPr>
        <w:pStyle w:val="AllowPageBreak"/>
      </w:pPr>
    </w:p>
    <w:p w:rsidR="00000000" w:rsidRPr="00C51DA1" w:rsidP="00C51DA1">
      <w:pPr>
        <w:pStyle w:val="Heading1"/>
      </w:pPr>
      <w:bookmarkStart w:id="13" w:name="O_1122417"/>
      <w:bookmarkEnd w:id="13"/>
      <w:r w:rsidRPr="00C51D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A1">
            <w:pPr>
              <w:pStyle w:val="BodyText"/>
              <w:rPr>
                <w:lang w:val="en-NZ"/>
              </w:rPr>
            </w:pPr>
            <w:r w:rsidRPr="00C51DA1">
              <w:t>Evidence required to demonstrate competence in this unit must be relevant to and satisfy all the requirements of the elements and performance criteria and inclu</w:t>
            </w:r>
            <w:r w:rsidRPr="00C51DA1">
              <w:t>de knowledge of:</w:t>
            </w:r>
          </w:p>
        </w:tc>
      </w:tr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ListBullet"/>
            </w:pPr>
            <w:r w:rsidRPr="00C51DA1">
              <w:t>multiple barrier principles and their importance including:</w:t>
            </w:r>
          </w:p>
          <w:p w:rsidR="00000000" w:rsidRPr="00C51DA1" w:rsidP="00C51DA1">
            <w:pPr>
              <w:pStyle w:val="ListBullet2"/>
            </w:pPr>
            <w:r w:rsidRPr="00C51DA1">
              <w:t>chronic and acute health impacts from human exposure</w:t>
            </w:r>
          </w:p>
          <w:p w:rsidR="00000000" w:rsidRPr="00C51DA1" w:rsidP="00C51DA1">
            <w:pPr>
              <w:pStyle w:val="ListBullet2"/>
            </w:pPr>
            <w:r w:rsidRPr="00C51DA1">
              <w:t xml:space="preserve">concept of the Disability Adjusted Life Year (DALY) </w:t>
            </w:r>
          </w:p>
          <w:p w:rsidR="00000000" w:rsidRPr="00C51DA1" w:rsidP="00C51DA1">
            <w:pPr>
              <w:pStyle w:val="ListBullet2"/>
            </w:pPr>
            <w:r w:rsidRPr="00C51DA1">
              <w:t>log reduction</w:t>
            </w:r>
          </w:p>
          <w:p w:rsidR="00000000" w:rsidRPr="00C51DA1" w:rsidP="00C51DA1">
            <w:pPr>
              <w:pStyle w:val="ListBullet"/>
            </w:pPr>
            <w:r w:rsidRPr="00C51DA1">
              <w:t>organisational risk management procedures</w:t>
            </w:r>
          </w:p>
          <w:p w:rsidR="00000000" w:rsidRPr="00C51DA1" w:rsidP="00C51DA1">
            <w:pPr>
              <w:pStyle w:val="ListBullet"/>
            </w:pPr>
            <w:r w:rsidRPr="00C51DA1">
              <w:t>relevant guidelines and guiding principles and elements</w:t>
            </w:r>
          </w:p>
          <w:p w:rsidR="00000000" w:rsidRPr="00C51DA1" w:rsidP="00C51DA1">
            <w:pPr>
              <w:pStyle w:val="ListBullet"/>
            </w:pPr>
            <w:r w:rsidRPr="00C51DA1">
              <w:t>relevant legislation, codes of practice and industry standards</w:t>
            </w:r>
          </w:p>
          <w:p w:rsidR="00000000" w:rsidRPr="00C51DA1" w:rsidP="00C51DA1">
            <w:pPr>
              <w:pStyle w:val="ListBullet"/>
            </w:pPr>
            <w:r w:rsidRPr="00C51DA1">
              <w:t>strategies to communicate compliance responsibilities to team members</w:t>
            </w:r>
          </w:p>
          <w:p w:rsidR="00000000" w:rsidRPr="00C51DA1" w:rsidP="00C51DA1">
            <w:pPr>
              <w:pStyle w:val="ListBullet"/>
            </w:pPr>
            <w:r w:rsidRPr="00C51DA1">
              <w:t>water management plans including:</w:t>
            </w:r>
          </w:p>
          <w:p w:rsidR="00000000" w:rsidRPr="00C51DA1" w:rsidP="00C51DA1">
            <w:pPr>
              <w:pStyle w:val="ListBullet2"/>
            </w:pPr>
            <w:r w:rsidRPr="00C51DA1">
              <w:t>drinking water</w:t>
            </w:r>
          </w:p>
          <w:p w:rsidR="00000000" w:rsidRPr="00C51DA1" w:rsidP="00C51DA1">
            <w:pPr>
              <w:pStyle w:val="ListBullet2"/>
            </w:pPr>
            <w:r w:rsidRPr="00C51DA1">
              <w:t>recycled water</w:t>
            </w:r>
          </w:p>
          <w:p w:rsidR="00000000" w:rsidRPr="00C51DA1" w:rsidP="00C51DA1">
            <w:pPr>
              <w:pStyle w:val="ListBullet"/>
            </w:pPr>
            <w:r w:rsidRPr="00C51DA1">
              <w:t>w</w:t>
            </w:r>
            <w:r w:rsidRPr="00C51DA1">
              <w:t>ater quality risk assessment and control procedures</w:t>
            </w:r>
          </w:p>
          <w:p w:rsidR="00000000" w:rsidRPr="00C51DA1" w:rsidP="00C51DA1">
            <w:pPr>
              <w:pStyle w:val="ListBullet"/>
            </w:pPr>
            <w:r w:rsidRPr="00C51DA1">
              <w:t>water quality risk factors and performance indicators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14" w:name="O_1122418"/>
      <w:bookmarkEnd w:id="14"/>
      <w:r w:rsidRPr="00C51D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A1" w:rsidP="00C51DA1">
            <w:pPr>
              <w:pStyle w:val="BodyText"/>
            </w:pPr>
            <w:r w:rsidRPr="00C51DA1">
              <w:t>Assessors must</w:t>
            </w:r>
            <w:r w:rsidRPr="00C51DA1">
              <w:t xml:space="preserve"> hold credentials specified within the Standards for Registered Training Organisations current at the time of assessment. </w:t>
            </w:r>
          </w:p>
          <w:p w:rsidR="00000000" w:rsidRPr="00C51DA1" w:rsidP="00C51DA1">
            <w:pPr>
              <w:pStyle w:val="BodyText"/>
            </w:pPr>
            <w:r w:rsidRPr="00C51DA1">
              <w:t>Assessment must satisfy the Principles of Assessment and Rules of Evidence and all regulatory requirements included within the Standa</w:t>
            </w:r>
            <w:r w:rsidRPr="00C51DA1">
              <w:t>rds for Registered Training Organisations current at the time of assessment.</w:t>
            </w:r>
          </w:p>
          <w:p w:rsidR="00000000" w:rsidRPr="00C51DA1" w:rsidP="00C51DA1">
            <w:pPr>
              <w:pStyle w:val="BodyText"/>
            </w:pPr>
            <w:r w:rsidRPr="00C51DA1">
              <w:t>Assessment must occur in workplace operational situations where it is appropriate to do so; where this is not appropriate, assessment must occur in simulated workplace operational</w:t>
            </w:r>
            <w:r w:rsidRPr="00C51DA1">
              <w:t xml:space="preserve"> situations that replicate workplace conditions.</w:t>
            </w:r>
          </w:p>
          <w:p w:rsidR="00000000" w:rsidRPr="00C51DA1" w:rsidP="00C51DA1">
            <w:pPr>
              <w:pStyle w:val="BodyText"/>
            </w:pPr>
            <w:r w:rsidRPr="00C51DA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51DA1" w:rsidP="00C51DA1">
            <w:pPr>
              <w:pStyle w:val="BodyText"/>
            </w:pPr>
            <w:r w:rsidRPr="00C51DA1">
              <w:t>Resources for assessment must include a</w:t>
            </w:r>
            <w:r w:rsidRPr="00C51DA1">
              <w:t>ccess to:</w:t>
            </w:r>
          </w:p>
          <w:p w:rsidR="00000000" w:rsidRPr="00C51DA1" w:rsidP="00C51DA1">
            <w:pPr>
              <w:pStyle w:val="ListBullet"/>
            </w:pPr>
            <w:r w:rsidRPr="00C51DA1">
              <w:t>relevant and appropriate materials, tools, equipment and personal protective equipment currently used in industry</w:t>
            </w:r>
          </w:p>
          <w:p w:rsidR="00000000" w:rsidRPr="00C51DA1" w:rsidP="00C51DA1">
            <w:pPr>
              <w:pStyle w:val="ListBullet"/>
            </w:pPr>
            <w:r w:rsidRPr="00C51DA1">
              <w:t>applicable documentation including legislation, regulations, codes of practice, workplace procedures and operation manuals.</w:t>
            </w:r>
          </w:p>
        </w:tc>
      </w:tr>
    </w:tbl>
    <w:p w:rsidR="002B59F7" w:rsidP="00C51DA1">
      <w:pPr>
        <w:pStyle w:val="NoPaddingFontSize1"/>
      </w:pPr>
    </w:p>
    <w:p w:rsidR="002B59F7" w:rsidP="00C51DA1">
      <w:pPr>
        <w:pStyle w:val="NoPaddingFontSize1"/>
      </w:pPr>
    </w:p>
    <w:p w:rsidR="00000000" w:rsidRPr="00C51DA1" w:rsidP="00C51DA1">
      <w:pPr>
        <w:pStyle w:val="Heading1"/>
      </w:pPr>
      <w:bookmarkStart w:id="15" w:name="O_1122421"/>
      <w:bookmarkEnd w:id="15"/>
      <w:r w:rsidRPr="00C51DA1">
        <w:t>Links</w:t>
      </w:r>
    </w:p>
    <w:p w:rsidR="00000000" w:rsidRPr="00C51DA1" w:rsidP="002B59F7">
      <w:pPr>
        <w:pStyle w:val="BodyText"/>
      </w:pPr>
      <w:r w:rsidRPr="00C51D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3014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51DA1" w:rsidP="00C51DA1"/>
    <w:sectPr w:rsidSect="00C51D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A1" w:rsidRPr="002B59F7" w:rsidP="002B5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F7" w:rsidP="00C51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9F7" w:rsidP="00C51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B59F7" w:rsidP="00C51D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A1" w:rsidP="00C51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59F7">
      <w:t>Approved</w:t>
    </w:r>
    <w:r w:rsidR="002B59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59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59F7">
      <w:rPr>
        <w:noProof/>
      </w:rPr>
      <w:t>4</w:t>
    </w:r>
    <w:r>
      <w:rPr>
        <w:noProof/>
      </w:rPr>
      <w:fldChar w:fldCharType="end"/>
    </w:r>
  </w:p>
  <w:p w:rsidR="00C51DA1" w:rsidP="00C51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59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59F7">
      <w:t>BuildSkills Australia</w:t>
    </w:r>
    <w:r w:rsidR="002B59F7">
      <w:fldChar w:fldCharType="end"/>
    </w:r>
  </w:p>
  <w:p w:rsidR="00C51DA1" w:rsidP="00C51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DA1" w:rsidRPr="002B59F7" w:rsidP="002B5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F7" w:rsidRPr="002D2AF8" w:rsidP="00C51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NWPGEN032 Ensure compliance with water industry standards, guidelines and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59F7" w:rsidP="00C51D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A1" w:rsidRPr="002D2AF8" w:rsidP="00C51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59F7">
      <w:t>NWPGEN032 Ensure compliance with water industry standards, guidelines and legislation</w:t>
    </w:r>
    <w:r w:rsidR="002B59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59F7">
      <w:rPr>
        <w:noProof/>
      </w:rPr>
      <w:t>2 March 2025</w:t>
    </w:r>
    <w:r>
      <w:fldChar w:fldCharType="end"/>
    </w:r>
  </w:p>
  <w:p w:rsidR="00C51DA1" w:rsidP="00C51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983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44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A8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DA1"/>
  </w:style>
  <w:style w:type="character" w:customStyle="1" w:styleId="Heading1Char">
    <w:name w:val="Heading 1 Char"/>
    <w:basedOn w:val="DefaultParagraphFont"/>
    <w:link w:val="Heading1"/>
    <w:rsid w:val="00C51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D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DA1"/>
    <w:rPr>
      <w:b/>
      <w:spacing w:val="0"/>
    </w:rPr>
  </w:style>
  <w:style w:type="paragraph" w:styleId="ListBullet2">
    <w:name w:val="List Bullet 2"/>
    <w:basedOn w:val="List2"/>
    <w:rsid w:val="00C51D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1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1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1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D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DA1"/>
    <w:rPr>
      <w:i/>
    </w:rPr>
  </w:style>
  <w:style w:type="paragraph" w:styleId="Caption">
    <w:name w:val="caption"/>
    <w:basedOn w:val="BodyText"/>
    <w:next w:val="Normal"/>
    <w:qFormat/>
    <w:rsid w:val="00C51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DA1"/>
  </w:style>
  <w:style w:type="paragraph" w:styleId="TableofFigures">
    <w:name w:val="table of figures"/>
    <w:basedOn w:val="Normal"/>
    <w:next w:val="Normal"/>
    <w:semiHidden/>
    <w:rsid w:val="00C51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D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1DA1"/>
    <w:rPr>
      <w:rFonts w:ascii="Wingdings" w:hAnsi="Wingdings"/>
    </w:rPr>
  </w:style>
  <w:style w:type="paragraph" w:customStyle="1" w:styleId="TableHeading">
    <w:name w:val="Table Heading"/>
    <w:basedOn w:val="HeadingBase"/>
    <w:rsid w:val="00C51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DA1"/>
    <w:rPr>
      <w:color w:val="0033CC"/>
      <w:u w:val="none"/>
    </w:rPr>
  </w:style>
  <w:style w:type="paragraph" w:customStyle="1" w:styleId="BodyTextRight">
    <w:name w:val="Body Text Right"/>
    <w:basedOn w:val="BodyText"/>
    <w:rsid w:val="00C51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D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DA1"/>
    <w:rPr>
      <w:sz w:val="32"/>
    </w:rPr>
  </w:style>
  <w:style w:type="paragraph" w:customStyle="1" w:styleId="HeadingProcedure">
    <w:name w:val="Heading Procedure"/>
    <w:basedOn w:val="HeadingBase"/>
    <w:next w:val="Normal"/>
    <w:rsid w:val="00C51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DA1"/>
    <w:pPr>
      <w:spacing w:before="60" w:after="60"/>
    </w:pPr>
  </w:style>
  <w:style w:type="paragraph" w:styleId="ListContinue">
    <w:name w:val="List Continue"/>
    <w:basedOn w:val="List"/>
    <w:rsid w:val="00C51DA1"/>
    <w:pPr>
      <w:ind w:firstLine="0"/>
    </w:pPr>
  </w:style>
  <w:style w:type="paragraph" w:customStyle="1" w:styleId="ListNote">
    <w:name w:val="List Note"/>
    <w:basedOn w:val="List"/>
    <w:rsid w:val="00C51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DA1"/>
    <w:rPr>
      <w:rFonts w:ascii="Courier New" w:hAnsi="Courier New"/>
    </w:rPr>
  </w:style>
  <w:style w:type="paragraph" w:customStyle="1" w:styleId="NoteBullet">
    <w:name w:val="Note Bullet"/>
    <w:basedOn w:val="Note"/>
    <w:rsid w:val="00C51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D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1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DA1"/>
    <w:rPr>
      <w:b/>
      <w:smallCaps/>
    </w:rPr>
  </w:style>
  <w:style w:type="paragraph" w:customStyle="1" w:styleId="TableListNumber">
    <w:name w:val="Table List Number"/>
    <w:basedOn w:val="ListNumber"/>
    <w:rsid w:val="00C51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DA1"/>
    <w:pPr>
      <w:numPr>
        <w:numId w:val="9"/>
      </w:numPr>
    </w:pPr>
  </w:style>
  <w:style w:type="paragraph" w:customStyle="1" w:styleId="ListAlpha2">
    <w:name w:val="List Alpha 2"/>
    <w:basedOn w:val="List2"/>
    <w:rsid w:val="00C51DA1"/>
    <w:pPr>
      <w:numPr>
        <w:numId w:val="8"/>
      </w:numPr>
    </w:pPr>
  </w:style>
  <w:style w:type="paragraph" w:styleId="List2">
    <w:name w:val="List 2"/>
    <w:basedOn w:val="BodyText"/>
    <w:rsid w:val="00C51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D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D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1DA1"/>
    <w:pPr>
      <w:numPr>
        <w:numId w:val="4"/>
      </w:numPr>
    </w:pPr>
  </w:style>
  <w:style w:type="paragraph" w:styleId="ListContinue2">
    <w:name w:val="List Continue 2"/>
    <w:basedOn w:val="List2"/>
    <w:rsid w:val="00C51DA1"/>
    <w:pPr>
      <w:ind w:firstLine="0"/>
    </w:pPr>
  </w:style>
  <w:style w:type="paragraph" w:styleId="ListContinue3">
    <w:name w:val="List Continue 3"/>
    <w:basedOn w:val="List3"/>
    <w:rsid w:val="00C51DA1"/>
    <w:pPr>
      <w:ind w:left="1021" w:firstLine="0"/>
    </w:pPr>
  </w:style>
  <w:style w:type="paragraph" w:styleId="ListContinue4">
    <w:name w:val="List Continue 4"/>
    <w:basedOn w:val="List4"/>
    <w:rsid w:val="00C51DA1"/>
    <w:pPr>
      <w:ind w:firstLine="0"/>
    </w:pPr>
  </w:style>
  <w:style w:type="paragraph" w:styleId="ListContinue5">
    <w:name w:val="List Continue 5"/>
    <w:basedOn w:val="List5"/>
    <w:rsid w:val="00C51DA1"/>
    <w:pPr>
      <w:ind w:firstLine="0"/>
    </w:pPr>
  </w:style>
  <w:style w:type="paragraph" w:styleId="ListNumber3">
    <w:name w:val="List Number 3"/>
    <w:basedOn w:val="List3"/>
    <w:rsid w:val="00C51DA1"/>
    <w:pPr>
      <w:numPr>
        <w:numId w:val="5"/>
      </w:numPr>
    </w:pPr>
  </w:style>
  <w:style w:type="paragraph" w:styleId="ListNumber4">
    <w:name w:val="List Number 4"/>
    <w:basedOn w:val="List4"/>
    <w:rsid w:val="00C51DA1"/>
    <w:pPr>
      <w:numPr>
        <w:numId w:val="6"/>
      </w:numPr>
    </w:pPr>
  </w:style>
  <w:style w:type="paragraph" w:styleId="ListNumber5">
    <w:name w:val="List Number 5"/>
    <w:basedOn w:val="List5"/>
    <w:rsid w:val="00C51DA1"/>
    <w:pPr>
      <w:numPr>
        <w:numId w:val="7"/>
      </w:numPr>
    </w:pPr>
  </w:style>
  <w:style w:type="paragraph" w:styleId="BlockText">
    <w:name w:val="Block Text"/>
    <w:basedOn w:val="Normal"/>
    <w:rsid w:val="00C51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DA1"/>
    <w:rPr>
      <w:sz w:val="16"/>
      <w:vertAlign w:val="superscript"/>
    </w:rPr>
  </w:style>
  <w:style w:type="character" w:customStyle="1" w:styleId="Symbols">
    <w:name w:val="Symbols"/>
    <w:basedOn w:val="DefaultParagraphFont"/>
    <w:rsid w:val="00C51DA1"/>
    <w:rPr>
      <w:rFonts w:ascii="Symbol" w:hAnsi="Symbol"/>
    </w:rPr>
  </w:style>
  <w:style w:type="character" w:customStyle="1" w:styleId="MenuOptions">
    <w:name w:val="Menu Options"/>
    <w:basedOn w:val="DefaultParagraphFont"/>
    <w:rsid w:val="00C51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DA1"/>
    <w:rPr>
      <w:b/>
    </w:rPr>
  </w:style>
  <w:style w:type="character" w:customStyle="1" w:styleId="Underlined">
    <w:name w:val="Underlined"/>
    <w:basedOn w:val="DefaultParagraphFont"/>
    <w:rsid w:val="00C51DA1"/>
    <w:rPr>
      <w:u w:val="single"/>
    </w:rPr>
  </w:style>
  <w:style w:type="paragraph" w:customStyle="1" w:styleId="TableBodyTextRight">
    <w:name w:val="Table Body Text Right"/>
    <w:basedOn w:val="TableBodyText"/>
    <w:rsid w:val="00C51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DA1"/>
    <w:rPr>
      <w:sz w:val="18"/>
    </w:rPr>
  </w:style>
  <w:style w:type="paragraph" w:customStyle="1" w:styleId="BodySmallRight">
    <w:name w:val="Body Small Right"/>
    <w:basedOn w:val="BodyTextRight"/>
    <w:rsid w:val="00C51DA1"/>
    <w:rPr>
      <w:sz w:val="18"/>
      <w:szCs w:val="18"/>
    </w:rPr>
  </w:style>
  <w:style w:type="paragraph" w:customStyle="1" w:styleId="MarginEdition">
    <w:name w:val="Margin Edition"/>
    <w:basedOn w:val="MarginNote"/>
    <w:rsid w:val="00C51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DA1"/>
    <w:rPr>
      <w:sz w:val="2"/>
      <w:szCs w:val="2"/>
    </w:rPr>
  </w:style>
  <w:style w:type="character" w:customStyle="1" w:styleId="Small">
    <w:name w:val="Small"/>
    <w:basedOn w:val="DefaultParagraphFont"/>
    <w:rsid w:val="00C51DA1"/>
    <w:rPr>
      <w:sz w:val="16"/>
    </w:rPr>
  </w:style>
  <w:style w:type="paragraph" w:customStyle="1" w:styleId="WideTable">
    <w:name w:val="Wide Table"/>
    <w:basedOn w:val="Normal"/>
    <w:rsid w:val="00C51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DA1"/>
  </w:style>
  <w:style w:type="paragraph" w:styleId="Quote">
    <w:name w:val="Quote"/>
    <w:basedOn w:val="Heading1"/>
    <w:link w:val="QuoteChar"/>
    <w:qFormat/>
    <w:rsid w:val="00C51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DA1"/>
    <w:pPr>
      <w:pageBreakBefore/>
    </w:pPr>
  </w:style>
  <w:style w:type="paragraph" w:customStyle="1" w:styleId="Border">
    <w:name w:val="Border"/>
    <w:basedOn w:val="Normal"/>
    <w:qFormat/>
    <w:rsid w:val="00C51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DA1"/>
    <w:rPr>
      <w:u w:val="single"/>
    </w:rPr>
  </w:style>
  <w:style w:type="character" w:customStyle="1" w:styleId="BoldandItalics">
    <w:name w:val="Bold and Italics"/>
    <w:qFormat/>
    <w:rsid w:val="00C51DA1"/>
    <w:rPr>
      <w:b/>
      <w:i/>
      <w:u w:val="none"/>
    </w:rPr>
  </w:style>
  <w:style w:type="paragraph" w:styleId="BalloonText">
    <w:name w:val="Balloon Text"/>
    <w:basedOn w:val="Normal"/>
    <w:link w:val="BalloonTextChar"/>
    <w:rsid w:val="00C51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DA1"/>
    <w:pPr>
      <w:spacing w:before="0" w:after="0"/>
    </w:pPr>
  </w:style>
  <w:style w:type="paragraph" w:customStyle="1" w:styleId="BodyTextBold">
    <w:name w:val="Body Text Bold"/>
    <w:basedOn w:val="BodyText"/>
    <w:qFormat/>
    <w:rsid w:val="00C51DA1"/>
    <w:rPr>
      <w:b/>
    </w:rPr>
  </w:style>
  <w:style w:type="character" w:styleId="Hyperlink">
    <w:name w:val="Hyperlink"/>
    <w:basedOn w:val="DefaultParagraphFont"/>
    <w:uiPriority w:val="99"/>
    <w:unhideWhenUsed/>
    <w:rsid w:val="002B5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5767</Characters>
  <Application>Microsoft Office Word</Application>
  <DocSecurity>0</DocSecurity>
  <Lines>221</Lines>
  <Paragraphs>122</Paragraphs>
  <ScaleCrop>false</ScaleCrop>
  <Company>Author-it Software Corporation Ltd.</Company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NWPGEN032 Ensure compliance with water industry standards, guidelines and legislation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