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C0A" w:rsidP="00576C0A">
      <w:pPr>
        <w:pStyle w:val="Title"/>
      </w:pPr>
      <w:r>
        <w:fldChar w:fldCharType="begin"/>
      </w:r>
      <w:r>
        <w:instrText xml:space="preserve"> TITLE   \* MERGEFORMAT </w:instrText>
      </w:r>
      <w:r>
        <w:fldChar w:fldCharType="separate"/>
      </w:r>
      <w:r>
        <w:t>NWPGEN024 Identify the role and functions of the water industry</w:t>
      </w:r>
      <w:r>
        <w:fldChar w:fldCharType="end"/>
      </w:r>
    </w:p>
    <w:p w:rsidR="00576C0A" w:rsidP="00576C0A">
      <w:pPr>
        <w:pStyle w:val="Version"/>
        <w:sectPr w:rsidSect="00B22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4EA" w:rsidP="00B224EA">
      <w:pPr>
        <w:pStyle w:val="SuperHeading"/>
      </w:pPr>
      <w:r w:rsidRPr="00B224EA">
        <w:t>NWPGEN024 Identify the role and functions of the water industry</w:t>
      </w:r>
    </w:p>
    <w:p w:rsidR="00000000" w:rsidRPr="00B224EA" w:rsidP="00B224EA">
      <w:pPr>
        <w:pStyle w:val="Heading1"/>
      </w:pPr>
      <w:bookmarkStart w:id="1" w:name="O_1061564"/>
      <w:bookmarkEnd w:id="1"/>
      <w:r w:rsidRPr="00B224EA">
        <w:t>Modification History</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Release 1. This is the first release of this unit of competency in the NWP National Water Training Package.</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2" w:name="O_1061565"/>
      <w:bookmarkEnd w:id="2"/>
      <w:r w:rsidRPr="00B224EA">
        <w:t>Application</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NoPaddingFontSize1"/>
            </w:pPr>
            <w:r w:rsidRPr="00B224EA">
              <w:t>This unit involves the skills and knowledge required to identify the role and functions of the water industry.</w:t>
            </w:r>
          </w:p>
          <w:p w:rsidR="00000000" w:rsidRPr="00B224EA" w:rsidP="00B224EA">
            <w:pPr>
              <w:pStyle w:val="BodyText"/>
            </w:pPr>
            <w:r w:rsidRPr="00B224EA">
              <w:t xml:space="preserve">It includes identifying stakeholders and customers in the water industry, identifying legislative frameworks and translating and contextualising </w:t>
            </w:r>
            <w:r w:rsidRPr="00B224EA">
              <w:t>application into own role in the organisation .  It also includes working effectively in the water industry by understanding the role of water organisations in the community, services they provide, water systems used, the importance of maintaining water qu</w:t>
            </w:r>
            <w:r w:rsidRPr="00B224EA">
              <w:t>ality and structure of organisations. The ability to understand the water cycle and the link between the services and systems of the water organisation and supply to, and usage by, the consumer is essential to performance.</w:t>
            </w:r>
          </w:p>
          <w:p w:rsidR="00000000" w:rsidRPr="00B224EA" w:rsidP="00B224EA">
            <w:pPr>
              <w:pStyle w:val="BodyText"/>
            </w:pPr>
            <w:r w:rsidRPr="00B224EA">
              <w:t>This unit applies to those workin</w:t>
            </w:r>
            <w:r w:rsidRPr="00B224EA">
              <w:t>g in the water industry.  Those undertaking this unit would work under appropriate supervision, while performing specific tasks in a range of familiar contexts.</w:t>
            </w:r>
          </w:p>
          <w:p w:rsidR="00000000" w:rsidRPr="00B224EA" w:rsidP="00B224EA">
            <w:pPr>
              <w:pStyle w:val="BodyText"/>
            </w:pPr>
            <w:r w:rsidRPr="00B224EA">
              <w:t>No licensing, legislative or certification requirements apply to this unit at the time of publi</w:t>
            </w:r>
            <w:r w:rsidRPr="00B224EA">
              <w:t>cation.</w:t>
            </w:r>
          </w:p>
        </w:tc>
      </w:tr>
    </w:tbl>
    <w:p w:rsidR="00000000" w:rsidRPr="00B224EA" w:rsidP="00B224EA">
      <w:pPr>
        <w:pStyle w:val="BodyText"/>
      </w:pPr>
    </w:p>
    <w:p w:rsidR="00000000" w:rsidRPr="00B224EA" w:rsidP="00B224EA">
      <w:pPr>
        <w:pStyle w:val="AllowPageBreak"/>
      </w:pPr>
    </w:p>
    <w:p w:rsidR="00000000" w:rsidRPr="00B224EA" w:rsidP="00B224EA">
      <w:pPr>
        <w:pStyle w:val="Heading1"/>
      </w:pPr>
      <w:bookmarkStart w:id="3" w:name="O_1061566"/>
      <w:bookmarkEnd w:id="3"/>
      <w:r w:rsidRPr="00B224EA">
        <w:t>Pre-requisite Unit</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Not applicable.</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4" w:name="O_1061567"/>
      <w:bookmarkEnd w:id="4"/>
      <w:r w:rsidRPr="00B224EA">
        <w:t>Competency Field</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General</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5" w:name="O_1061568"/>
      <w:bookmarkEnd w:id="5"/>
      <w:r w:rsidRPr="00B224EA">
        <w:t>Unit Sector</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Not applicable.</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6" w:name="O_1061569"/>
      <w:bookmarkEnd w:id="6"/>
      <w:r w:rsidRPr="00B224E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224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PERFORMANCE CRITERIA</w:t>
            </w:r>
          </w:p>
        </w:tc>
      </w:tr>
      <w:tr w:rsidTr="00B224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 xml:space="preserve">Elements describe the essential </w:t>
            </w:r>
            <w:r w:rsidRPr="00B224EA">
              <w:t>outcomes.</w:t>
            </w:r>
          </w:p>
        </w:tc>
        <w:tc>
          <w:tcPr>
            <w:tcW w:w="6289" w:type="dxa"/>
            <w:gridSpan w:val="2"/>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 xml:space="preserve">Performance criteria describe the performance needed to </w:t>
            </w:r>
            <w:r w:rsidRPr="00B224EA">
              <w:t>demonstrate achievement of the element.</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Identify elements of the water cycle</w:t>
            </w: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Identify components of the natural water cycle</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 xml:space="preserve">Identify human intervention and environmental impacts on the natural water cycle </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Identify functions of water systems</w:t>
            </w: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 xml:space="preserve">Identify water industry operational processes </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Identify how each operational process relates to the water cycle</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Recognise stakeholders and customers</w:t>
            </w: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 xml:space="preserve">Identify services provided to customers </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Identify stakeholders and respective roles</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Describe the structure of the water industry at state or territory level</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Identify legislative framework</w:t>
            </w: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Identify bodies responsible for establishing and managing standards for water quality relevant to organisation</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Identify relevant guidelines</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Determine legislative, regulatory and licensing requirements governing the industry and understand the</w:t>
            </w:r>
            <w:r w:rsidRPr="00B224EA">
              <w:t>ir impact</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rPr>
                <w:rStyle w:val="SpecialBold"/>
              </w:rPr>
              <w:t>Identify role functions in organisational structure</w:t>
            </w: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Describe organisational structure and role functions</w:t>
            </w:r>
          </w:p>
        </w:tc>
      </w:tr>
      <w:tr w:rsidTr="00B224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2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Describe how own role contributes to organisational outcomes</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7" w:name="O_1061570"/>
      <w:bookmarkEnd w:id="7"/>
      <w:r w:rsidRPr="00B224EA">
        <w:t>Foundation Skills</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Foundation skills essential to performance are explicit in the performance criteria of this unit of competency.</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8" w:name="O_1061571"/>
      <w:bookmarkEnd w:id="8"/>
      <w:r w:rsidRPr="00B224EA">
        <w:t>Range of Conditions</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Range is restricted to essential operating conditions and any other variables essential to the work env</w:t>
            </w:r>
            <w:r w:rsidRPr="00B224EA">
              <w:t>ironment.</w:t>
            </w:r>
          </w:p>
          <w:p w:rsidR="00000000" w:rsidRPr="00B224EA" w:rsidP="00B224EA">
            <w:pPr>
              <w:pStyle w:val="BodyText"/>
            </w:pPr>
            <w:r w:rsidRPr="00B224EA">
              <w:t>Non-essential conditions may be found in the Companion Volume Implementation Guide.</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9" w:name="O_1061572"/>
      <w:bookmarkEnd w:id="9"/>
      <w:r w:rsidRPr="00B224EA">
        <w:t>Unit Mapping Information</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This unit replaces and is equivalent to NWPGEN012 Support the role and functions of the water industry.</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10" w:name="O_1061579"/>
      <w:bookmarkEnd w:id="10"/>
      <w:r w:rsidRPr="00B224EA">
        <w:t>Links</w:t>
      </w:r>
    </w:p>
    <w:p w:rsidR="00000000" w:rsidRPr="00B224EA" w:rsidP="00576C0A">
      <w:pPr>
        <w:pStyle w:val="BodyText"/>
      </w:pPr>
      <w:r w:rsidRPr="00B224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13C3">
        <w:rPr>
          <w:rStyle w:val="Hyperlink"/>
        </w:rPr>
        <w:t>https://vetnet.gov.au/Pages/TrainingDocs.aspx?q=26336bc0-04e5-49d9-8c31-46c49b6a0037</w:t>
      </w:r>
      <w:r>
        <w:fldChar w:fldCharType="end"/>
      </w:r>
    </w:p>
    <w:p w:rsidR="00000000" w:rsidRPr="00B224EA" w:rsidP="00576C0A">
      <w:pPr>
        <w:pStyle w:val="BodyText"/>
      </w:pPr>
      <w:r w:rsidRPr="00B224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13C3">
        <w:rPr>
          <w:rStyle w:val="Hyperlink"/>
        </w:rPr>
        <w:t>https://vetnet.gov.au/Pages/TrainingDocs.aspx?q=26336bc0-04e5-49d9-8c31-46c49b6a0037</w:t>
      </w:r>
      <w:r>
        <w:fldChar w:fldCharType="end"/>
      </w:r>
    </w:p>
    <w:p w:rsidR="00000000" w:rsidRPr="00B224EA" w:rsidP="00576C0A">
      <w:pPr>
        <w:pStyle w:val="BodyText"/>
      </w:pPr>
      <w:r w:rsidRPr="00B224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13C3">
        <w:rPr>
          <w:rStyle w:val="Hyperlink"/>
        </w:rPr>
        <w:t>https://vetnet.gov.au/Pages/TrainingDocs.aspx?q=26336bc0-04e5-49d9-8c31-46c49b6a0037</w:t>
      </w:r>
      <w:r>
        <w:fldChar w:fldCharType="end"/>
      </w:r>
    </w:p>
    <w:p w:rsidR="00000000" w:rsidRPr="00B224EA" w:rsidP="00576C0A">
      <w:pPr>
        <w:pStyle w:val="BodyText"/>
        <w:sectPr w:rsidSect="00B224EA">
          <w:headerReference w:type="default" r:id="rId10"/>
          <w:footerReference w:type="default" r:id="rId11"/>
          <w:pgSz w:w="11908" w:h="16833"/>
          <w:pgMar w:top="1702" w:right="1418" w:bottom="1702" w:left="1418" w:header="992" w:footer="992" w:gutter="0"/>
          <w:cols w:space="720"/>
          <w:noEndnote/>
          <w:docGrid w:linePitch="299"/>
        </w:sectPr>
      </w:pPr>
    </w:p>
    <w:p w:rsidR="00000000" w:rsidRPr="00B224EA" w:rsidP="00B224EA">
      <w:pPr>
        <w:pStyle w:val="SuperHeading"/>
      </w:pPr>
      <w:r w:rsidRPr="00B224EA">
        <w:t>Assessment R</w:t>
      </w:r>
      <w:r w:rsidRPr="00B224EA">
        <w:t>equirements for NWPGEN024 Identify the role and functions of the water industry</w:t>
      </w:r>
    </w:p>
    <w:p w:rsidR="00000000" w:rsidRPr="00B224EA" w:rsidP="00B224EA">
      <w:pPr>
        <w:pStyle w:val="Heading1"/>
      </w:pPr>
      <w:bookmarkStart w:id="11" w:name="O_1061574"/>
      <w:bookmarkEnd w:id="11"/>
      <w:r w:rsidRPr="00B224EA">
        <w:t>Modification History</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Release 1. This is the first release of this unit of competency in the NWP National Water Training Package.</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12" w:name="O_1061575"/>
      <w:bookmarkEnd w:id="12"/>
      <w:r w:rsidRPr="00B224EA">
        <w:t>Performance Evidence</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Evidence required to demonstrate competence in this unit must be relevant to and satisfy all the requirements of the elements and performance criteria on at least one occasion and includes:</w:t>
            </w:r>
          </w:p>
        </w:tc>
      </w:tr>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ListBullet"/>
            </w:pPr>
            <w:r w:rsidRPr="00B224EA">
              <w:t xml:space="preserve">describing natural impacts on water cycles </w:t>
            </w:r>
            <w:r w:rsidRPr="00B224EA">
              <w:t xml:space="preserve">and how they impact on customers </w:t>
            </w:r>
          </w:p>
          <w:p w:rsidR="00000000" w:rsidRPr="00B224EA" w:rsidP="00B224EA">
            <w:pPr>
              <w:pStyle w:val="ListBullet"/>
            </w:pPr>
            <w:r w:rsidRPr="00B224EA">
              <w:t>identifying agencies involved in water management</w:t>
            </w:r>
          </w:p>
          <w:p w:rsidR="00000000" w:rsidRPr="00B224EA" w:rsidP="00B224EA">
            <w:pPr>
              <w:pStyle w:val="ListBullet"/>
            </w:pPr>
            <w:r w:rsidRPr="00B224EA">
              <w:t>identifying systems and customer services offered by a water industry organisation</w:t>
            </w:r>
          </w:p>
          <w:p w:rsidR="00000000" w:rsidRPr="00B224EA" w:rsidP="00B224EA">
            <w:pPr>
              <w:pStyle w:val="ListBullet"/>
            </w:pPr>
            <w:r w:rsidRPr="00B224EA">
              <w:t>identifying the factors which influence customer expectations and satisfaction</w:t>
            </w:r>
          </w:p>
          <w:p w:rsidR="00000000" w:rsidRPr="00B224EA" w:rsidP="00B224EA">
            <w:pPr>
              <w:pStyle w:val="ListBullet"/>
            </w:pPr>
            <w:r w:rsidRPr="00B224EA">
              <w:t>identifyin</w:t>
            </w:r>
            <w:r w:rsidRPr="00B224EA">
              <w:t>g water industry stakeholders</w:t>
            </w:r>
          </w:p>
          <w:p w:rsidR="00000000" w:rsidRPr="00B224EA" w:rsidP="00B224EA">
            <w:pPr>
              <w:pStyle w:val="ListBullet"/>
            </w:pPr>
            <w:r w:rsidRPr="00B224EA">
              <w:t>identifying water systems and infrastructure</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13" w:name="O_1061576"/>
      <w:bookmarkEnd w:id="13"/>
      <w:r w:rsidRPr="00B224EA">
        <w:t>Knowledge Evidence</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24EA">
            <w:pPr>
              <w:pStyle w:val="BodyText"/>
              <w:rPr>
                <w:lang w:val="en-NZ"/>
              </w:rPr>
            </w:pPr>
            <w:r w:rsidRPr="00B224EA">
              <w:t>Evidence required to demonstrate competence in this unit must be relevant to and satisfy all the requirements of the elements and performance criteria and includes knowledge of:</w:t>
            </w:r>
          </w:p>
        </w:tc>
      </w:tr>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ListBullet"/>
            </w:pPr>
            <w:r w:rsidRPr="00B224EA">
              <w:t>community and agency roles and responsibilities in monitoring water quality</w:t>
            </w:r>
          </w:p>
          <w:p w:rsidR="00000000" w:rsidRPr="00B224EA" w:rsidP="00B224EA">
            <w:pPr>
              <w:pStyle w:val="ListBullet"/>
            </w:pPr>
            <w:r w:rsidRPr="00B224EA">
              <w:t>environmental impact assessments</w:t>
            </w:r>
          </w:p>
          <w:p w:rsidR="00000000" w:rsidRPr="00B224EA" w:rsidP="00B224EA">
            <w:pPr>
              <w:pStyle w:val="ListBullet"/>
            </w:pPr>
            <w:r w:rsidRPr="00B224EA">
              <w:t>legal, social, community and environmental requirements</w:t>
            </w:r>
          </w:p>
          <w:p w:rsidR="00000000" w:rsidRPr="00B224EA" w:rsidP="00B224EA">
            <w:pPr>
              <w:pStyle w:val="ListBullet"/>
            </w:pPr>
            <w:r w:rsidRPr="00B224EA">
              <w:t xml:space="preserve">relevant legislation and industry guidelines </w:t>
            </w:r>
          </w:p>
          <w:p w:rsidR="00000000" w:rsidRPr="00B224EA" w:rsidP="00B224EA">
            <w:pPr>
              <w:pStyle w:val="ListBullet"/>
            </w:pPr>
            <w:r w:rsidRPr="00B224EA">
              <w:t>relevant occupational functions within the water industry including:</w:t>
            </w:r>
          </w:p>
          <w:p w:rsidR="00000000" w:rsidRPr="00B224EA" w:rsidP="00B224EA">
            <w:pPr>
              <w:pStyle w:val="ListBullet2"/>
            </w:pPr>
            <w:r w:rsidRPr="00B224EA">
              <w:t>catchment and dams</w:t>
            </w:r>
          </w:p>
          <w:p w:rsidR="00000000" w:rsidRPr="00B224EA" w:rsidP="00B224EA">
            <w:pPr>
              <w:pStyle w:val="ListBullet2"/>
            </w:pPr>
            <w:r w:rsidRPr="00B224EA">
              <w:t>hydrometric monitoring</w:t>
            </w:r>
          </w:p>
          <w:p w:rsidR="00000000" w:rsidRPr="00B224EA" w:rsidP="00B224EA">
            <w:pPr>
              <w:pStyle w:val="ListBullet2"/>
            </w:pPr>
            <w:r w:rsidRPr="00B224EA">
              <w:t>irrigation water supply</w:t>
            </w:r>
          </w:p>
          <w:p w:rsidR="00000000" w:rsidRPr="00B224EA" w:rsidP="00B224EA">
            <w:pPr>
              <w:pStyle w:val="ListBullet2"/>
            </w:pPr>
            <w:r w:rsidRPr="00B224EA">
              <w:t>networks</w:t>
            </w:r>
          </w:p>
          <w:p w:rsidR="00000000" w:rsidRPr="00B224EA" w:rsidP="00B224EA">
            <w:pPr>
              <w:pStyle w:val="ListBullet2"/>
            </w:pPr>
            <w:r w:rsidRPr="00B224EA">
              <w:t>reclaimed water</w:t>
            </w:r>
          </w:p>
          <w:p w:rsidR="00000000" w:rsidRPr="00B224EA" w:rsidP="00B224EA">
            <w:pPr>
              <w:pStyle w:val="ListBullet2"/>
            </w:pPr>
            <w:r w:rsidRPr="00B224EA">
              <w:t>trade waste</w:t>
            </w:r>
          </w:p>
          <w:p w:rsidR="00000000" w:rsidRPr="00B224EA" w:rsidP="00B224EA">
            <w:pPr>
              <w:pStyle w:val="ListBullet2"/>
            </w:pPr>
            <w:r w:rsidRPr="00B224EA">
              <w:t>wastewater treatment</w:t>
            </w:r>
          </w:p>
          <w:p w:rsidR="00000000" w:rsidRPr="00B224EA" w:rsidP="00B224EA">
            <w:pPr>
              <w:pStyle w:val="ListBullet2"/>
            </w:pPr>
            <w:r w:rsidRPr="00B224EA">
              <w:t xml:space="preserve">water treatment </w:t>
            </w:r>
          </w:p>
          <w:p w:rsidR="00000000" w:rsidRPr="00B224EA" w:rsidP="00B224EA">
            <w:pPr>
              <w:pStyle w:val="ListBullet"/>
            </w:pPr>
            <w:r w:rsidRPr="00B224EA">
              <w:t>relevant workplace policies and procedures</w:t>
            </w:r>
          </w:p>
          <w:p w:rsidR="00000000" w:rsidRPr="00B224EA" w:rsidP="00B224EA">
            <w:pPr>
              <w:pStyle w:val="ListBullet"/>
            </w:pPr>
            <w:r w:rsidRPr="00B224EA">
              <w:t xml:space="preserve">water authorities and agencies </w:t>
            </w:r>
          </w:p>
          <w:p w:rsidR="00000000" w:rsidRPr="00B224EA" w:rsidP="00B224EA">
            <w:pPr>
              <w:pStyle w:val="ListBullet"/>
            </w:pPr>
            <w:r w:rsidRPr="00B224EA">
              <w:t>water industry terminology</w:t>
            </w:r>
          </w:p>
          <w:p w:rsidR="00000000" w:rsidRPr="00B224EA" w:rsidP="00B224EA">
            <w:pPr>
              <w:pStyle w:val="ListBullet"/>
            </w:pPr>
            <w:r w:rsidRPr="00B224EA">
              <w:t>water supply system</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14" w:name="O_1061577"/>
      <w:bookmarkEnd w:id="14"/>
      <w:r w:rsidRPr="00B224EA">
        <w:t>Assessment Conditions</w:t>
      </w:r>
    </w:p>
    <w:tbl>
      <w:tblPr>
        <w:tblW w:w="9497" w:type="dxa"/>
        <w:tblLayout w:type="fixed"/>
        <w:tblCellMar>
          <w:left w:w="62" w:type="dxa"/>
          <w:right w:w="62" w:type="dxa"/>
        </w:tblCellMar>
        <w:tblLook w:val="0000"/>
      </w:tblPr>
      <w:tblGrid>
        <w:gridCol w:w="9497"/>
      </w:tblGrid>
      <w:tr w:rsidTr="00B22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4EA" w:rsidP="00B224EA">
            <w:pPr>
              <w:pStyle w:val="BodyText"/>
            </w:pPr>
            <w:r w:rsidRPr="00B224EA">
              <w:t xml:space="preserve">Assessors must hold credentials specified within the Standards for Registered Training Organisations current at the time of assessment. </w:t>
            </w:r>
          </w:p>
          <w:p w:rsidR="00000000" w:rsidRPr="00B224EA" w:rsidP="00B224EA">
            <w:pPr>
              <w:pStyle w:val="BodyText"/>
            </w:pPr>
            <w:r w:rsidRPr="00B224EA">
              <w:t>Assessment must satisfy the Principles of Assessment and Rules of Evidence and all regulatory req</w:t>
            </w:r>
            <w:r w:rsidRPr="00B224EA">
              <w:t>uirements included within the Standards for Registered Training Organisations current at the time of assessment.</w:t>
            </w:r>
          </w:p>
          <w:p w:rsidR="00000000" w:rsidRPr="00B224EA" w:rsidP="00B224EA">
            <w:pPr>
              <w:pStyle w:val="BodyText"/>
            </w:pPr>
            <w:r w:rsidRPr="00B224EA">
              <w:t>Assessment must occur in workplace operational situations where it is appropriate to do so; where this is not appropriate, assessment must occu</w:t>
            </w:r>
            <w:r w:rsidRPr="00B224EA">
              <w:t>r in simulated workplace operational situations that replicate workplace conditions.</w:t>
            </w:r>
          </w:p>
          <w:p w:rsidR="00000000" w:rsidRPr="00B224EA" w:rsidP="00B224EA">
            <w:pPr>
              <w:pStyle w:val="BodyText"/>
            </w:pPr>
            <w:r w:rsidRPr="00B224EA">
              <w:t>Assessment processes and techniques must be appropriate to the language, literacy and numeracy requirements of the work being performed and the needs of the candidate.</w:t>
            </w:r>
          </w:p>
          <w:p w:rsidR="00000000" w:rsidRPr="00B224EA" w:rsidP="00B224EA">
            <w:pPr>
              <w:pStyle w:val="BodyText"/>
            </w:pPr>
            <w:r w:rsidRPr="00B224EA">
              <w:t>Res</w:t>
            </w:r>
            <w:r w:rsidRPr="00B224EA">
              <w:t>ources for assessment must include access to:</w:t>
            </w:r>
          </w:p>
          <w:p w:rsidR="00000000" w:rsidRPr="00B224EA" w:rsidP="00B224EA">
            <w:pPr>
              <w:pStyle w:val="ListBullet"/>
            </w:pPr>
            <w:r w:rsidRPr="00B224EA">
              <w:t>relevant and appropriate materials, tools, equipment and personal protective equipment currently used in industry</w:t>
            </w:r>
          </w:p>
          <w:p w:rsidR="00000000" w:rsidRPr="00B224EA" w:rsidP="00B224EA">
            <w:pPr>
              <w:pStyle w:val="ListBullet"/>
            </w:pPr>
            <w:r w:rsidRPr="00B224EA">
              <w:t>applicable documentation including legislation, regulations, codes of practice, workplace proce</w:t>
            </w:r>
            <w:r w:rsidRPr="00B224EA">
              <w:t>dures and operation manuals.</w:t>
            </w:r>
          </w:p>
        </w:tc>
      </w:tr>
    </w:tbl>
    <w:p w:rsidR="00000000" w:rsidRPr="00B224EA" w:rsidP="00B224EA">
      <w:pPr>
        <w:pStyle w:val="NoPaddingFontSize1"/>
      </w:pPr>
    </w:p>
    <w:p w:rsidR="00000000" w:rsidRPr="00B224EA" w:rsidP="00B224EA">
      <w:pPr>
        <w:pStyle w:val="AllowPageBreak"/>
      </w:pPr>
    </w:p>
    <w:p w:rsidR="00000000" w:rsidRPr="00B224EA" w:rsidP="00B224EA">
      <w:pPr>
        <w:pStyle w:val="Heading1"/>
      </w:pPr>
      <w:bookmarkStart w:id="15" w:name="O_1061580"/>
      <w:bookmarkEnd w:id="15"/>
      <w:r w:rsidRPr="00B224EA">
        <w:t>Links</w:t>
      </w:r>
    </w:p>
    <w:p w:rsidR="00000000" w:rsidRPr="00B224EA" w:rsidP="00576C0A">
      <w:pPr>
        <w:pStyle w:val="BodyText"/>
      </w:pPr>
      <w:r w:rsidRPr="00B224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13C3">
        <w:rPr>
          <w:rStyle w:val="Hyperlink"/>
        </w:rPr>
        <w:t>https://vetnet.gov.au/Pages/TrainingDocs.aspx?q=26336bc0-04e5-49d9-8c31-46c49b6a0037</w:t>
      </w:r>
      <w:r>
        <w:fldChar w:fldCharType="end"/>
      </w:r>
    </w:p>
    <w:p w:rsidR="00000000" w:rsidRPr="00B224EA" w:rsidP="00576C0A">
      <w:pPr>
        <w:pStyle w:val="BodyText"/>
      </w:pPr>
      <w:r w:rsidRPr="00B224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13C3">
        <w:rPr>
          <w:rStyle w:val="Hyperlink"/>
        </w:rPr>
        <w:t>https://vetnet.gov.au/Pages/TrainingDocs.aspx?q=26336bc0-04e5-49d9-8c31-46c49b6a0037</w:t>
      </w:r>
      <w:r>
        <w:fldChar w:fldCharType="end"/>
      </w:r>
    </w:p>
    <w:p w:rsidR="00000000" w:rsidRPr="00B224EA" w:rsidP="00576C0A">
      <w:pPr>
        <w:pStyle w:val="BodyText"/>
      </w:pPr>
      <w:r w:rsidRPr="00B224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13C3">
        <w:rPr>
          <w:rStyle w:val="Hyperlink"/>
        </w:rPr>
        <w:t>https://vetnet.gov.au/Pages/TrainingDocs.aspx?q=26336bc0-04e5-49d9-8c31-46c49b6a0037</w:t>
      </w:r>
      <w:r>
        <w:fldChar w:fldCharType="end"/>
      </w:r>
    </w:p>
    <w:p w:rsidR="00000000" w:rsidRPr="00B224EA" w:rsidP="00B224EA"/>
    <w:sectPr w:rsidSect="00B224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rsidRPr="00576C0A" w:rsidP="00576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0A" w:rsidP="00B22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C0A" w:rsidP="00B224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76C0A" w:rsidP="00B224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rsidP="00B224EA">
    <w:pPr>
      <w:pStyle w:val="Footer"/>
      <w:framePr w:wrap="around"/>
    </w:pPr>
    <w:r>
      <w:fldChar w:fldCharType="begin"/>
    </w:r>
    <w:r>
      <w:instrText xml:space="preserve"> DOCPROPERTY  Subject  \* MERGEFORMAT </w:instrText>
    </w:r>
    <w:r>
      <w:fldChar w:fldCharType="separate"/>
    </w:r>
    <w:r w:rsidR="00576C0A">
      <w:t>Approved</w:t>
    </w:r>
    <w:r w:rsidR="00576C0A">
      <w:fldChar w:fldCharType="end"/>
    </w:r>
    <w:r>
      <w:tab/>
      <w:t xml:space="preserve">Page </w:t>
    </w:r>
    <w:r>
      <w:fldChar w:fldCharType="begin"/>
    </w:r>
    <w:r>
      <w:instrText xml:space="preserve"> PAGE  \* Arabic  \* MERGEFORMAT </w:instrText>
    </w:r>
    <w:r>
      <w:fldChar w:fldCharType="separate"/>
    </w:r>
    <w:r w:rsidR="00576C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C0A">
      <w:rPr>
        <w:noProof/>
      </w:rPr>
      <w:t>4</w:t>
    </w:r>
    <w:r>
      <w:rPr>
        <w:noProof/>
      </w:rPr>
      <w:fldChar w:fldCharType="end"/>
    </w:r>
  </w:p>
  <w:p w:rsidR="00B224EA" w:rsidP="00B224EA">
    <w:pPr>
      <w:pStyle w:val="Footer"/>
      <w:framePr w:wrap="around"/>
    </w:pPr>
    <w:r>
      <w:t xml:space="preserve">© Commonwealth of Australia, </w:t>
    </w:r>
    <w:r>
      <w:fldChar w:fldCharType="begin"/>
    </w:r>
    <w:r>
      <w:instrText xml:space="preserve"> DATE  \@ "yyyy"  \* MERGEFORMAT </w:instrText>
    </w:r>
    <w:r>
      <w:fldChar w:fldCharType="separate"/>
    </w:r>
    <w:r w:rsidR="00576C0A">
      <w:rPr>
        <w:noProof/>
      </w:rPr>
      <w:t>2025</w:t>
    </w:r>
    <w:r>
      <w:fldChar w:fldCharType="end"/>
    </w:r>
    <w:r>
      <w:tab/>
    </w:r>
    <w:r>
      <w:fldChar w:fldCharType="begin"/>
    </w:r>
    <w:r>
      <w:instrText xml:space="preserve"> DOCPROPERTY  Author  \* MERGEFORMAT </w:instrText>
    </w:r>
    <w:r>
      <w:fldChar w:fldCharType="separate"/>
    </w:r>
    <w:r w:rsidR="00576C0A">
      <w:t>BuildSkills Australia</w:t>
    </w:r>
    <w:r w:rsidR="00576C0A">
      <w:fldChar w:fldCharType="end"/>
    </w:r>
  </w:p>
  <w:p w:rsidR="00B224EA" w:rsidP="00B22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4EA" w:rsidRPr="00576C0A" w:rsidP="00576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0A" w:rsidRPr="002D2AF8" w:rsidP="00B224EA">
    <w:pPr>
      <w:pStyle w:val="Header"/>
      <w:framePr w:wrap="around"/>
    </w:pPr>
    <w:r>
      <w:fldChar w:fldCharType="begin"/>
    </w:r>
    <w:r>
      <w:instrText xml:space="preserve"> TITLE   \* MERGEFORMAT </w:instrText>
    </w:r>
    <w:r>
      <w:fldChar w:fldCharType="separate"/>
    </w:r>
    <w:r>
      <w:t>NWPGEN024 Identify the role and functions of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6C0A" w:rsidP="00B224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EA" w:rsidRPr="002D2AF8" w:rsidP="00B224EA">
    <w:pPr>
      <w:pStyle w:val="Header"/>
      <w:framePr w:wrap="around"/>
    </w:pPr>
    <w:r>
      <w:fldChar w:fldCharType="begin"/>
    </w:r>
    <w:r>
      <w:instrText xml:space="preserve"> TITLE   \* MERGEFORMAT </w:instrText>
    </w:r>
    <w:r>
      <w:fldChar w:fldCharType="separate"/>
    </w:r>
    <w:r w:rsidR="00576C0A">
      <w:t>NWPGEN024 Identify the role and functions of the water industry</w:t>
    </w:r>
    <w:r w:rsidR="00576C0A">
      <w:fldChar w:fldCharType="end"/>
    </w:r>
    <w:r>
      <w:tab/>
      <w:t xml:space="preserve">Date this document was generated: </w:t>
    </w:r>
    <w:r>
      <w:fldChar w:fldCharType="begin"/>
    </w:r>
    <w:r>
      <w:instrText xml:space="preserve"> CREATEDATE  \@ "d MMMM yyyy"  \* MERGEFORMAT </w:instrText>
    </w:r>
    <w:r>
      <w:fldChar w:fldCharType="separate"/>
    </w:r>
    <w:r w:rsidR="00576C0A">
      <w:rPr>
        <w:noProof/>
      </w:rPr>
      <w:t>1 March 2025</w:t>
    </w:r>
    <w:r>
      <w:fldChar w:fldCharType="end"/>
    </w:r>
  </w:p>
  <w:p w:rsidR="00B224EA" w:rsidP="00B22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AF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322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67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4EA"/>
    <w:pPr>
      <w:spacing w:before="360" w:after="60"/>
      <w:outlineLvl w:val="0"/>
    </w:pPr>
    <w:rPr>
      <w:sz w:val="32"/>
    </w:rPr>
  </w:style>
  <w:style w:type="paragraph" w:styleId="Heading2">
    <w:name w:val="heading 2"/>
    <w:basedOn w:val="HeadingBase"/>
    <w:next w:val="BodyText"/>
    <w:link w:val="Heading2Char"/>
    <w:qFormat/>
    <w:rsid w:val="00B224EA"/>
    <w:pPr>
      <w:keepLines/>
      <w:spacing w:before="240" w:after="120"/>
      <w:outlineLvl w:val="1"/>
    </w:pPr>
    <w:rPr>
      <w:sz w:val="28"/>
      <w:szCs w:val="40"/>
    </w:rPr>
  </w:style>
  <w:style w:type="paragraph" w:styleId="Heading3">
    <w:name w:val="heading 3"/>
    <w:basedOn w:val="HeadingBase"/>
    <w:next w:val="BodyText"/>
    <w:link w:val="Heading3Char"/>
    <w:qFormat/>
    <w:rsid w:val="00B224EA"/>
    <w:pPr>
      <w:spacing w:before="180" w:after="120"/>
      <w:outlineLvl w:val="2"/>
    </w:pPr>
    <w:rPr>
      <w:spacing w:val="-10"/>
      <w:kern w:val="32"/>
    </w:rPr>
  </w:style>
  <w:style w:type="paragraph" w:styleId="Heading4">
    <w:name w:val="heading 4"/>
    <w:basedOn w:val="HeadingBase"/>
    <w:next w:val="BodyText"/>
    <w:link w:val="Heading4Char"/>
    <w:qFormat/>
    <w:rsid w:val="00B224EA"/>
    <w:pPr>
      <w:spacing w:before="160" w:after="120"/>
      <w:outlineLvl w:val="3"/>
    </w:pPr>
    <w:rPr>
      <w:sz w:val="22"/>
    </w:rPr>
  </w:style>
  <w:style w:type="paragraph" w:styleId="Heading5">
    <w:name w:val="heading 5"/>
    <w:basedOn w:val="HeadingBase"/>
    <w:next w:val="Normal"/>
    <w:link w:val="Heading5Char"/>
    <w:qFormat/>
    <w:rsid w:val="00B224EA"/>
    <w:pPr>
      <w:spacing w:before="80"/>
      <w:outlineLvl w:val="4"/>
    </w:pPr>
    <w:rPr>
      <w:color w:val="918585"/>
      <w:sz w:val="20"/>
    </w:rPr>
  </w:style>
  <w:style w:type="paragraph" w:styleId="Heading6">
    <w:name w:val="heading 6"/>
    <w:basedOn w:val="HeadingBase"/>
    <w:next w:val="Normal"/>
    <w:link w:val="Heading6Char"/>
    <w:qFormat/>
    <w:rsid w:val="00B224EA"/>
    <w:pPr>
      <w:spacing w:before="60"/>
      <w:outlineLvl w:val="5"/>
    </w:pPr>
    <w:rPr>
      <w:color w:val="918585"/>
      <w:sz w:val="20"/>
    </w:rPr>
  </w:style>
  <w:style w:type="paragraph" w:styleId="Heading7">
    <w:name w:val="heading 7"/>
    <w:basedOn w:val="Normal"/>
    <w:next w:val="Normal"/>
    <w:link w:val="Heading7Char"/>
    <w:qFormat/>
    <w:rsid w:val="00B224EA"/>
    <w:pPr>
      <w:ind w:left="720"/>
      <w:outlineLvl w:val="6"/>
    </w:pPr>
    <w:rPr>
      <w:i/>
    </w:rPr>
  </w:style>
  <w:style w:type="paragraph" w:styleId="Heading8">
    <w:name w:val="heading 8"/>
    <w:basedOn w:val="Normal"/>
    <w:next w:val="Normal"/>
    <w:link w:val="Heading8Char"/>
    <w:qFormat/>
    <w:rsid w:val="00B224EA"/>
    <w:pPr>
      <w:ind w:left="720"/>
      <w:outlineLvl w:val="7"/>
    </w:pPr>
    <w:rPr>
      <w:i/>
    </w:rPr>
  </w:style>
  <w:style w:type="paragraph" w:styleId="Heading9">
    <w:name w:val="heading 9"/>
    <w:basedOn w:val="Normal"/>
    <w:next w:val="Normal"/>
    <w:link w:val="Heading9Char"/>
    <w:qFormat/>
    <w:rsid w:val="00B224EA"/>
    <w:pPr>
      <w:ind w:left="720"/>
      <w:outlineLvl w:val="8"/>
    </w:pPr>
    <w:rPr>
      <w:i/>
    </w:rPr>
  </w:style>
  <w:style w:type="character" w:default="1" w:styleId="DefaultParagraphFont">
    <w:name w:val="Default Paragraph Font"/>
    <w:uiPriority w:val="1"/>
    <w:unhideWhenUsed/>
    <w:rsid w:val="00B22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4EA"/>
  </w:style>
  <w:style w:type="character" w:customStyle="1" w:styleId="Heading1Char">
    <w:name w:val="Heading 1 Char"/>
    <w:basedOn w:val="DefaultParagraphFont"/>
    <w:link w:val="Heading1"/>
    <w:rsid w:val="00B224EA"/>
    <w:rPr>
      <w:rFonts w:ascii="Times New Roman" w:eastAsia="Times New Roman" w:hAnsi="Times New Roman" w:cs="Times New Roman"/>
      <w:b/>
      <w:sz w:val="32"/>
      <w:szCs w:val="20"/>
      <w:lang w:eastAsia="en-US"/>
    </w:rPr>
  </w:style>
  <w:style w:type="paragraph" w:styleId="BodyText">
    <w:name w:val="Body Text"/>
    <w:basedOn w:val="Normal"/>
    <w:link w:val="BodyTextChar"/>
    <w:rsid w:val="00B22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4EA"/>
    <w:rPr>
      <w:rFonts w:ascii="Times New Roman" w:eastAsia="Times New Roman" w:hAnsi="Times New Roman" w:cs="Times New Roman"/>
      <w:sz w:val="24"/>
      <w:lang w:eastAsia="en-US"/>
    </w:rPr>
  </w:style>
  <w:style w:type="paragraph" w:styleId="ListBullet">
    <w:name w:val="List Bullet"/>
    <w:basedOn w:val="List"/>
    <w:rsid w:val="00B224EA"/>
    <w:pPr>
      <w:numPr>
        <w:numId w:val="12"/>
      </w:numPr>
      <w:tabs>
        <w:tab w:val="clear" w:pos="340"/>
      </w:tabs>
      <w:spacing w:before="40" w:after="40"/>
    </w:pPr>
  </w:style>
  <w:style w:type="character" w:customStyle="1" w:styleId="SpecialBold">
    <w:name w:val="Special Bold"/>
    <w:basedOn w:val="DefaultParagraphFont"/>
    <w:rsid w:val="00B224EA"/>
    <w:rPr>
      <w:b/>
      <w:spacing w:val="0"/>
    </w:rPr>
  </w:style>
  <w:style w:type="paragraph" w:styleId="ListBullet2">
    <w:name w:val="List Bullet 2"/>
    <w:basedOn w:val="List2"/>
    <w:rsid w:val="00B224EA"/>
    <w:pPr>
      <w:numPr>
        <w:numId w:val="13"/>
      </w:numPr>
      <w:tabs>
        <w:tab w:val="clear" w:pos="680"/>
      </w:tabs>
    </w:pPr>
  </w:style>
  <w:style w:type="paragraph" w:customStyle="1" w:styleId="SuperHeading">
    <w:name w:val="SuperHeading"/>
    <w:basedOn w:val="Normal"/>
    <w:rsid w:val="00B224EA"/>
    <w:pPr>
      <w:spacing w:before="240" w:after="120"/>
      <w:outlineLvl w:val="0"/>
    </w:pPr>
    <w:rPr>
      <w:rFonts w:ascii="Times New Roman" w:hAnsi="Times New Roman"/>
      <w:b/>
      <w:sz w:val="32"/>
    </w:rPr>
  </w:style>
  <w:style w:type="paragraph" w:customStyle="1" w:styleId="AllowPageBreak">
    <w:name w:val="AllowPageBreak"/>
    <w:rsid w:val="00B224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2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4EA"/>
    <w:rPr>
      <w:rFonts w:ascii="Courier New" w:eastAsia="Times New Roman" w:hAnsi="Courier New" w:cs="Times New Roman"/>
      <w:i/>
      <w:szCs w:val="20"/>
      <w:lang w:eastAsia="en-US"/>
    </w:rPr>
  </w:style>
  <w:style w:type="paragraph" w:customStyle="1" w:styleId="HeadingBase">
    <w:name w:val="Heading Base"/>
    <w:rsid w:val="00B22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4EA"/>
    <w:pPr>
      <w:tabs>
        <w:tab w:val="right" w:leader="dot" w:pos="9072"/>
      </w:tabs>
      <w:ind w:left="567"/>
    </w:pPr>
    <w:rPr>
      <w:szCs w:val="22"/>
    </w:rPr>
  </w:style>
  <w:style w:type="paragraph" w:customStyle="1" w:styleId="TOCBase">
    <w:name w:val="TOC Base"/>
    <w:rsid w:val="00B22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4EA"/>
    <w:pPr>
      <w:tabs>
        <w:tab w:val="right" w:leader="dot" w:pos="9072"/>
      </w:tabs>
      <w:spacing w:before="40" w:after="40"/>
      <w:ind w:left="284"/>
    </w:pPr>
    <w:rPr>
      <w:rFonts w:ascii="Times New Roman" w:hAnsi="Times New Roman"/>
    </w:rPr>
  </w:style>
  <w:style w:type="paragraph" w:styleId="TOC1">
    <w:name w:val="toc 1"/>
    <w:basedOn w:val="TOCBase"/>
    <w:next w:val="Normal"/>
    <w:rsid w:val="00B22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4EA"/>
    <w:rPr>
      <w:rFonts w:ascii="Times New Roman" w:eastAsia="Times New Roman" w:hAnsi="Times New Roman" w:cs="Times New Roman"/>
      <w:sz w:val="16"/>
      <w:lang w:eastAsia="en-US"/>
    </w:rPr>
  </w:style>
  <w:style w:type="paragraph" w:styleId="Title">
    <w:name w:val="Title"/>
    <w:basedOn w:val="HeadingBase"/>
    <w:link w:val="TitleChar"/>
    <w:qFormat/>
    <w:rsid w:val="00B224EA"/>
    <w:pPr>
      <w:spacing w:before="5040"/>
      <w:jc w:val="center"/>
    </w:pPr>
    <w:rPr>
      <w:sz w:val="48"/>
      <w:szCs w:val="72"/>
      <w:lang w:val="en-US"/>
    </w:rPr>
  </w:style>
  <w:style w:type="character" w:customStyle="1" w:styleId="TitleChar">
    <w:name w:val="Title Char"/>
    <w:basedOn w:val="DefaultParagraphFont"/>
    <w:link w:val="Title"/>
    <w:rsid w:val="00B22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4EA"/>
    <w:pPr>
      <w:tabs>
        <w:tab w:val="left" w:pos="3600"/>
        <w:tab w:val="left" w:pos="3958"/>
      </w:tabs>
    </w:pPr>
  </w:style>
  <w:style w:type="paragraph" w:styleId="List">
    <w:name w:val="List"/>
    <w:basedOn w:val="BodyText"/>
    <w:next w:val="BodyText"/>
    <w:rsid w:val="00B224EA"/>
    <w:pPr>
      <w:tabs>
        <w:tab w:val="left" w:pos="340"/>
      </w:tabs>
      <w:spacing w:before="60" w:after="60"/>
      <w:ind w:left="340" w:hanging="340"/>
    </w:pPr>
  </w:style>
  <w:style w:type="paragraph" w:customStyle="1" w:styleId="Note">
    <w:name w:val="Note"/>
    <w:basedOn w:val="BodyText"/>
    <w:rsid w:val="00B22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4EA"/>
    <w:pPr>
      <w:framePr w:wrap="auto" w:hAnchor="text" w:y="6049"/>
    </w:pPr>
    <w:rPr>
      <w:color w:val="000000"/>
      <w:sz w:val="40"/>
    </w:rPr>
  </w:style>
  <w:style w:type="paragraph" w:customStyle="1" w:styleId="TOCTitle">
    <w:name w:val="TOCTitle"/>
    <w:basedOn w:val="Heading1"/>
    <w:rsid w:val="00B224EA"/>
    <w:pPr>
      <w:spacing w:after="240"/>
      <w:jc w:val="center"/>
      <w:outlineLvl w:val="9"/>
    </w:pPr>
    <w:rPr>
      <w:caps/>
    </w:rPr>
  </w:style>
  <w:style w:type="paragraph" w:customStyle="1" w:styleId="Version">
    <w:name w:val="Version"/>
    <w:rsid w:val="00B22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4EA"/>
    <w:pPr>
      <w:keepNext w:val="0"/>
      <w:tabs>
        <w:tab w:val="right" w:pos="4176"/>
      </w:tabs>
      <w:ind w:left="198" w:hanging="198"/>
    </w:pPr>
    <w:rPr>
      <w:rFonts w:ascii="Garamond" w:hAnsi="Garamond"/>
    </w:rPr>
  </w:style>
  <w:style w:type="paragraph" w:styleId="IndexHeading">
    <w:name w:val="index heading"/>
    <w:basedOn w:val="Normal"/>
    <w:next w:val="Index1"/>
    <w:semiHidden/>
    <w:rsid w:val="00B224EA"/>
    <w:pPr>
      <w:spacing w:before="120" w:after="120"/>
    </w:pPr>
    <w:rPr>
      <w:rFonts w:ascii="Arial" w:hAnsi="Arial"/>
      <w:b/>
      <w:color w:val="918585"/>
      <w:sz w:val="24"/>
    </w:rPr>
  </w:style>
  <w:style w:type="paragraph" w:styleId="Header">
    <w:name w:val="header"/>
    <w:basedOn w:val="Normal"/>
    <w:link w:val="HeaderChar"/>
    <w:rsid w:val="00B22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4EA"/>
    <w:rPr>
      <w:rFonts w:ascii="Times New Roman" w:eastAsia="Times New Roman" w:hAnsi="Times New Roman" w:cs="Times New Roman"/>
      <w:sz w:val="16"/>
      <w:szCs w:val="20"/>
      <w:lang w:val="en-GB" w:eastAsia="en-US"/>
    </w:rPr>
  </w:style>
  <w:style w:type="paragraph" w:customStyle="1" w:styleId="Chapter">
    <w:name w:val="Chapter"/>
    <w:basedOn w:val="Normal"/>
    <w:rsid w:val="00B224EA"/>
    <w:pPr>
      <w:spacing w:before="240"/>
    </w:pPr>
    <w:rPr>
      <w:rFonts w:ascii="Times New Roman" w:hAnsi="Times New Roman"/>
      <w:smallCaps/>
      <w:spacing w:val="80"/>
      <w:sz w:val="28"/>
    </w:rPr>
  </w:style>
  <w:style w:type="paragraph" w:customStyle="1" w:styleId="InChapter">
    <w:name w:val="InChapter"/>
    <w:basedOn w:val="Heading3"/>
    <w:rsid w:val="00B224EA"/>
    <w:pPr>
      <w:spacing w:after="240"/>
      <w:outlineLvl w:val="9"/>
    </w:pPr>
    <w:rPr>
      <w:noProof/>
    </w:rPr>
  </w:style>
  <w:style w:type="paragraph" w:styleId="Index2">
    <w:name w:val="index 2"/>
    <w:basedOn w:val="Normal"/>
    <w:next w:val="Normal"/>
    <w:semiHidden/>
    <w:rsid w:val="00B224EA"/>
    <w:pPr>
      <w:tabs>
        <w:tab w:val="right" w:pos="4176"/>
      </w:tabs>
      <w:ind w:left="568" w:hanging="284"/>
    </w:pPr>
    <w:rPr>
      <w:rFonts w:ascii="Garamond" w:hAnsi="Garamond"/>
    </w:rPr>
  </w:style>
  <w:style w:type="paragraph" w:customStyle="1" w:styleId="Byline">
    <w:name w:val="Byline"/>
    <w:rsid w:val="00B22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4EA"/>
    <w:pPr>
      <w:tabs>
        <w:tab w:val="clear" w:pos="3600"/>
        <w:tab w:val="clear" w:pos="3958"/>
      </w:tabs>
      <w:jc w:val="right"/>
    </w:pPr>
  </w:style>
  <w:style w:type="character" w:styleId="Emphasis">
    <w:name w:val="Emphasis"/>
    <w:basedOn w:val="DefaultParagraphFont"/>
    <w:qFormat/>
    <w:rsid w:val="00B224EA"/>
    <w:rPr>
      <w:i/>
    </w:rPr>
  </w:style>
  <w:style w:type="paragraph" w:styleId="Caption">
    <w:name w:val="caption"/>
    <w:basedOn w:val="BodyText"/>
    <w:next w:val="Normal"/>
    <w:qFormat/>
    <w:rsid w:val="00B224EA"/>
    <w:pPr>
      <w:framePr w:w="2268" w:hSpace="181" w:vSpace="181" w:wrap="around" w:vAnchor="text" w:hAnchor="page" w:x="1135" w:y="285" w:anchorLock="1"/>
    </w:pPr>
    <w:rPr>
      <w:i/>
    </w:rPr>
  </w:style>
  <w:style w:type="paragraph" w:customStyle="1" w:styleId="MiniTOCTitle">
    <w:name w:val="MiniTOCTitle"/>
    <w:basedOn w:val="Heading4"/>
    <w:rsid w:val="00B224EA"/>
    <w:pPr>
      <w:spacing w:before="240"/>
      <w:outlineLvl w:val="9"/>
    </w:pPr>
    <w:rPr>
      <w:noProof/>
      <w:sz w:val="24"/>
    </w:rPr>
  </w:style>
  <w:style w:type="paragraph" w:customStyle="1" w:styleId="MiniTOCItem">
    <w:name w:val="MiniTOCItem"/>
    <w:basedOn w:val="ListBullet"/>
    <w:rsid w:val="00B224EA"/>
    <w:pPr>
      <w:numPr>
        <w:numId w:val="0"/>
      </w:numPr>
      <w:tabs>
        <w:tab w:val="right" w:leader="dot" w:pos="6521"/>
      </w:tabs>
      <w:spacing w:before="0" w:after="0"/>
    </w:pPr>
  </w:style>
  <w:style w:type="paragraph" w:customStyle="1" w:styleId="TOFTitle">
    <w:name w:val="TOFTitle"/>
    <w:basedOn w:val="TOCTitle"/>
    <w:rsid w:val="00B224EA"/>
  </w:style>
  <w:style w:type="paragraph" w:styleId="TableofFigures">
    <w:name w:val="table of figures"/>
    <w:basedOn w:val="Normal"/>
    <w:next w:val="Normal"/>
    <w:semiHidden/>
    <w:rsid w:val="00B224EA"/>
    <w:pPr>
      <w:tabs>
        <w:tab w:val="right" w:leader="dot" w:pos="9072"/>
      </w:tabs>
      <w:ind w:left="970" w:hanging="403"/>
    </w:pPr>
    <w:rPr>
      <w:rFonts w:ascii="Times New Roman" w:hAnsi="Times New Roman"/>
      <w:b/>
    </w:rPr>
  </w:style>
  <w:style w:type="paragraph" w:styleId="ListNumber">
    <w:name w:val="List Number"/>
    <w:basedOn w:val="List"/>
    <w:rsid w:val="00B224EA"/>
    <w:pPr>
      <w:numPr>
        <w:numId w:val="15"/>
      </w:numPr>
      <w:tabs>
        <w:tab w:val="clear" w:pos="340"/>
      </w:tabs>
    </w:pPr>
  </w:style>
  <w:style w:type="character" w:customStyle="1" w:styleId="WingdingSymbols">
    <w:name w:val="Wingding Symbols"/>
    <w:rsid w:val="00B224EA"/>
    <w:rPr>
      <w:rFonts w:ascii="Wingdings" w:hAnsi="Wingdings"/>
    </w:rPr>
  </w:style>
  <w:style w:type="paragraph" w:customStyle="1" w:styleId="TableHeading">
    <w:name w:val="Table Heading"/>
    <w:basedOn w:val="HeadingBase"/>
    <w:rsid w:val="00B224EA"/>
    <w:pPr>
      <w:keepLines/>
      <w:pBdr>
        <w:bottom w:val="single" w:sz="6" w:space="1" w:color="918585"/>
      </w:pBdr>
      <w:spacing w:before="240"/>
    </w:pPr>
  </w:style>
  <w:style w:type="character" w:customStyle="1" w:styleId="HotSpot">
    <w:name w:val="HotSpot"/>
    <w:rsid w:val="00B224EA"/>
    <w:rPr>
      <w:color w:val="0033CC"/>
      <w:u w:val="none"/>
    </w:rPr>
  </w:style>
  <w:style w:type="paragraph" w:customStyle="1" w:styleId="BodyTextRight">
    <w:name w:val="Body Text Right"/>
    <w:basedOn w:val="BodyText"/>
    <w:rsid w:val="00B224EA"/>
    <w:pPr>
      <w:spacing w:before="0" w:after="0"/>
      <w:jc w:val="right"/>
    </w:pPr>
  </w:style>
  <w:style w:type="paragraph" w:styleId="Index3">
    <w:name w:val="index 3"/>
    <w:basedOn w:val="ListNumber2"/>
    <w:next w:val="Normal"/>
    <w:semiHidden/>
    <w:rsid w:val="00B224EA"/>
    <w:pPr>
      <w:numPr>
        <w:numId w:val="0"/>
      </w:numPr>
      <w:tabs>
        <w:tab w:val="right" w:leader="dot" w:pos="4176"/>
      </w:tabs>
    </w:pPr>
  </w:style>
  <w:style w:type="paragraph" w:styleId="ListNumber2">
    <w:name w:val="List Number 2"/>
    <w:basedOn w:val="List2"/>
    <w:rsid w:val="00B224EA"/>
    <w:pPr>
      <w:numPr>
        <w:numId w:val="10"/>
      </w:numPr>
      <w:tabs>
        <w:tab w:val="clear" w:pos="1060"/>
      </w:tabs>
    </w:pPr>
  </w:style>
  <w:style w:type="paragraph" w:customStyle="1" w:styleId="MarginNote">
    <w:name w:val="Margin Note"/>
    <w:basedOn w:val="BodyText"/>
    <w:rsid w:val="00B22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4EA"/>
    <w:rPr>
      <w:sz w:val="32"/>
    </w:rPr>
  </w:style>
  <w:style w:type="paragraph" w:customStyle="1" w:styleId="HeadingProcedure">
    <w:name w:val="Heading Procedure"/>
    <w:basedOn w:val="HeadingBase"/>
    <w:next w:val="Normal"/>
    <w:rsid w:val="00B224EA"/>
    <w:pPr>
      <w:tabs>
        <w:tab w:val="left" w:pos="0"/>
      </w:tabs>
      <w:spacing w:before="120" w:after="60"/>
    </w:pPr>
    <w:rPr>
      <w:i/>
      <w:color w:val="918585"/>
      <w:sz w:val="22"/>
    </w:rPr>
  </w:style>
  <w:style w:type="paragraph" w:customStyle="1" w:styleId="TableBodyText">
    <w:name w:val="Table Body Text"/>
    <w:basedOn w:val="BodyText"/>
    <w:rsid w:val="00B224EA"/>
    <w:pPr>
      <w:spacing w:before="60" w:after="60"/>
    </w:pPr>
  </w:style>
  <w:style w:type="paragraph" w:styleId="ListContinue">
    <w:name w:val="List Continue"/>
    <w:basedOn w:val="List"/>
    <w:rsid w:val="00B224EA"/>
    <w:pPr>
      <w:ind w:firstLine="0"/>
    </w:pPr>
  </w:style>
  <w:style w:type="paragraph" w:customStyle="1" w:styleId="ListNote">
    <w:name w:val="List Note"/>
    <w:basedOn w:val="List"/>
    <w:rsid w:val="00B224EA"/>
    <w:pPr>
      <w:pBdr>
        <w:top w:val="single" w:sz="6" w:space="2" w:color="918585"/>
        <w:bottom w:val="single" w:sz="6" w:space="2" w:color="918585"/>
      </w:pBdr>
      <w:tabs>
        <w:tab w:val="left" w:pos="1021"/>
      </w:tabs>
      <w:ind w:firstLine="0"/>
    </w:pPr>
  </w:style>
  <w:style w:type="paragraph" w:customStyle="1" w:styleId="Warning">
    <w:name w:val="Warning"/>
    <w:basedOn w:val="BodyText"/>
    <w:rsid w:val="00B224EA"/>
    <w:pPr>
      <w:shd w:val="clear" w:color="auto" w:fill="D9D9D9"/>
      <w:tabs>
        <w:tab w:val="left" w:pos="992"/>
      </w:tabs>
      <w:ind w:left="119" w:right="119"/>
    </w:pPr>
    <w:rPr>
      <w:sz w:val="20"/>
    </w:rPr>
  </w:style>
  <w:style w:type="paragraph" w:customStyle="1" w:styleId="MarginIcons">
    <w:name w:val="Margin Icons"/>
    <w:basedOn w:val="BodyText"/>
    <w:rsid w:val="00B22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4EA"/>
    <w:rPr>
      <w:rFonts w:ascii="Courier New" w:hAnsi="Courier New"/>
    </w:rPr>
  </w:style>
  <w:style w:type="paragraph" w:customStyle="1" w:styleId="NoteBullet">
    <w:name w:val="Note Bullet"/>
    <w:basedOn w:val="Note"/>
    <w:rsid w:val="00B224EA"/>
    <w:pPr>
      <w:tabs>
        <w:tab w:val="clear" w:pos="680"/>
      </w:tabs>
      <w:spacing w:before="60" w:after="60"/>
    </w:pPr>
  </w:style>
  <w:style w:type="paragraph" w:customStyle="1" w:styleId="SubHeading2">
    <w:name w:val="SubHeading2"/>
    <w:basedOn w:val="HeadingBase"/>
    <w:rsid w:val="00B224EA"/>
    <w:pPr>
      <w:spacing w:before="240" w:after="60"/>
    </w:pPr>
    <w:rPr>
      <w:sz w:val="20"/>
    </w:rPr>
  </w:style>
  <w:style w:type="paragraph" w:customStyle="1" w:styleId="SubHeading1">
    <w:name w:val="SubHeading1"/>
    <w:basedOn w:val="HeadingBase"/>
    <w:rsid w:val="00B224EA"/>
    <w:pPr>
      <w:spacing w:before="240" w:after="60"/>
    </w:pPr>
    <w:rPr>
      <w:color w:val="918585"/>
      <w:sz w:val="22"/>
    </w:rPr>
  </w:style>
  <w:style w:type="paragraph" w:customStyle="1" w:styleId="SideHeading">
    <w:name w:val="Side Heading"/>
    <w:basedOn w:val="HeadingBase"/>
    <w:rsid w:val="00B22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4EA"/>
    <w:pPr>
      <w:tabs>
        <w:tab w:val="num" w:pos="360"/>
      </w:tabs>
    </w:pPr>
  </w:style>
  <w:style w:type="paragraph" w:styleId="PlainText">
    <w:name w:val="Plain Text"/>
    <w:basedOn w:val="Normal"/>
    <w:link w:val="PlainTextChar"/>
    <w:rsid w:val="00B224EA"/>
    <w:rPr>
      <w:sz w:val="20"/>
    </w:rPr>
  </w:style>
  <w:style w:type="character" w:customStyle="1" w:styleId="PlainTextChar">
    <w:name w:val="Plain Text Char"/>
    <w:basedOn w:val="DefaultParagraphFont"/>
    <w:link w:val="PlainText"/>
    <w:rsid w:val="00B224EA"/>
    <w:rPr>
      <w:rFonts w:ascii="Courier New" w:eastAsia="Times New Roman" w:hAnsi="Courier New" w:cs="Times New Roman"/>
      <w:sz w:val="20"/>
      <w:szCs w:val="20"/>
      <w:lang w:eastAsia="en-US"/>
    </w:rPr>
  </w:style>
  <w:style w:type="character" w:customStyle="1" w:styleId="MenuOption">
    <w:name w:val="Menu Option"/>
    <w:basedOn w:val="DefaultParagraphFont"/>
    <w:rsid w:val="00B224EA"/>
    <w:rPr>
      <w:b/>
      <w:smallCaps/>
    </w:rPr>
  </w:style>
  <w:style w:type="paragraph" w:customStyle="1" w:styleId="TableListNumber">
    <w:name w:val="Table List Number"/>
    <w:basedOn w:val="ListNumber"/>
    <w:rsid w:val="00B224EA"/>
    <w:pPr>
      <w:numPr>
        <w:numId w:val="0"/>
      </w:numPr>
    </w:pPr>
  </w:style>
  <w:style w:type="paragraph" w:styleId="TOC4">
    <w:name w:val="toc 4"/>
    <w:basedOn w:val="TOCBase"/>
    <w:next w:val="Normal"/>
    <w:semiHidden/>
    <w:rsid w:val="00B224EA"/>
    <w:pPr>
      <w:tabs>
        <w:tab w:val="right" w:leader="dot" w:pos="9071"/>
      </w:tabs>
      <w:ind w:left="1701"/>
    </w:pPr>
  </w:style>
  <w:style w:type="paragraph" w:customStyle="1" w:styleId="ListAlpha">
    <w:name w:val="List Alpha"/>
    <w:basedOn w:val="List"/>
    <w:rsid w:val="00B224EA"/>
    <w:pPr>
      <w:numPr>
        <w:numId w:val="9"/>
      </w:numPr>
    </w:pPr>
  </w:style>
  <w:style w:type="paragraph" w:customStyle="1" w:styleId="ListAlpha2">
    <w:name w:val="List Alpha 2"/>
    <w:basedOn w:val="List2"/>
    <w:rsid w:val="00B224EA"/>
    <w:pPr>
      <w:numPr>
        <w:numId w:val="8"/>
      </w:numPr>
    </w:pPr>
  </w:style>
  <w:style w:type="paragraph" w:styleId="List2">
    <w:name w:val="List 2"/>
    <w:basedOn w:val="BodyText"/>
    <w:rsid w:val="00B224EA"/>
    <w:pPr>
      <w:tabs>
        <w:tab w:val="left" w:pos="680"/>
      </w:tabs>
      <w:spacing w:before="60" w:after="60"/>
      <w:ind w:left="680" w:hanging="340"/>
    </w:pPr>
  </w:style>
  <w:style w:type="paragraph" w:styleId="List3">
    <w:name w:val="List 3"/>
    <w:basedOn w:val="BodyText"/>
    <w:rsid w:val="00B224EA"/>
    <w:pPr>
      <w:tabs>
        <w:tab w:val="left" w:pos="1021"/>
      </w:tabs>
      <w:spacing w:before="60" w:after="60"/>
      <w:ind w:left="1020" w:hanging="340"/>
    </w:pPr>
  </w:style>
  <w:style w:type="paragraph" w:styleId="List4">
    <w:name w:val="List 4"/>
    <w:basedOn w:val="BodyText"/>
    <w:rsid w:val="00B224EA"/>
    <w:pPr>
      <w:tabs>
        <w:tab w:val="left" w:pos="1361"/>
      </w:tabs>
      <w:spacing w:before="60" w:after="60"/>
      <w:ind w:left="1361" w:hanging="340"/>
    </w:pPr>
  </w:style>
  <w:style w:type="paragraph" w:styleId="List5">
    <w:name w:val="List 5"/>
    <w:basedOn w:val="BodyText"/>
    <w:rsid w:val="00B224EA"/>
    <w:pPr>
      <w:tabs>
        <w:tab w:val="left" w:pos="1701"/>
      </w:tabs>
      <w:spacing w:before="60" w:after="60"/>
      <w:ind w:left="1701" w:hanging="340"/>
    </w:pPr>
  </w:style>
  <w:style w:type="paragraph" w:styleId="ListBullet3">
    <w:name w:val="List Bullet 3"/>
    <w:basedOn w:val="List3"/>
    <w:rsid w:val="00B224EA"/>
    <w:pPr>
      <w:numPr>
        <w:numId w:val="14"/>
      </w:numPr>
      <w:tabs>
        <w:tab w:val="clear" w:pos="1021"/>
      </w:tabs>
      <w:ind w:left="1037" w:hanging="357"/>
    </w:pPr>
  </w:style>
  <w:style w:type="paragraph" w:styleId="ListBullet4">
    <w:name w:val="List Bullet 4"/>
    <w:basedOn w:val="List4"/>
    <w:rsid w:val="00B224EA"/>
    <w:pPr>
      <w:numPr>
        <w:numId w:val="3"/>
      </w:numPr>
      <w:tabs>
        <w:tab w:val="clear" w:pos="1361"/>
      </w:tabs>
    </w:pPr>
  </w:style>
  <w:style w:type="paragraph" w:styleId="ListBullet5">
    <w:name w:val="List Bullet 5"/>
    <w:basedOn w:val="List5"/>
    <w:rsid w:val="00B224EA"/>
    <w:pPr>
      <w:numPr>
        <w:numId w:val="4"/>
      </w:numPr>
    </w:pPr>
  </w:style>
  <w:style w:type="paragraph" w:styleId="ListContinue2">
    <w:name w:val="List Continue 2"/>
    <w:basedOn w:val="List2"/>
    <w:rsid w:val="00B224EA"/>
    <w:pPr>
      <w:ind w:firstLine="0"/>
    </w:pPr>
  </w:style>
  <w:style w:type="paragraph" w:styleId="ListContinue3">
    <w:name w:val="List Continue 3"/>
    <w:basedOn w:val="List3"/>
    <w:rsid w:val="00B224EA"/>
    <w:pPr>
      <w:ind w:left="1021" w:firstLine="0"/>
    </w:pPr>
  </w:style>
  <w:style w:type="paragraph" w:styleId="ListContinue4">
    <w:name w:val="List Continue 4"/>
    <w:basedOn w:val="List4"/>
    <w:rsid w:val="00B224EA"/>
    <w:pPr>
      <w:ind w:firstLine="0"/>
    </w:pPr>
  </w:style>
  <w:style w:type="paragraph" w:styleId="ListContinue5">
    <w:name w:val="List Continue 5"/>
    <w:basedOn w:val="List5"/>
    <w:rsid w:val="00B224EA"/>
    <w:pPr>
      <w:ind w:firstLine="0"/>
    </w:pPr>
  </w:style>
  <w:style w:type="paragraph" w:styleId="ListNumber3">
    <w:name w:val="List Number 3"/>
    <w:basedOn w:val="List3"/>
    <w:rsid w:val="00B224EA"/>
    <w:pPr>
      <w:numPr>
        <w:numId w:val="5"/>
      </w:numPr>
    </w:pPr>
  </w:style>
  <w:style w:type="paragraph" w:styleId="ListNumber4">
    <w:name w:val="List Number 4"/>
    <w:basedOn w:val="List4"/>
    <w:rsid w:val="00B224EA"/>
    <w:pPr>
      <w:numPr>
        <w:numId w:val="6"/>
      </w:numPr>
    </w:pPr>
  </w:style>
  <w:style w:type="paragraph" w:styleId="ListNumber5">
    <w:name w:val="List Number 5"/>
    <w:basedOn w:val="List5"/>
    <w:rsid w:val="00B224EA"/>
    <w:pPr>
      <w:numPr>
        <w:numId w:val="7"/>
      </w:numPr>
    </w:pPr>
  </w:style>
  <w:style w:type="paragraph" w:styleId="BlockText">
    <w:name w:val="Block Text"/>
    <w:basedOn w:val="Normal"/>
    <w:rsid w:val="00B224EA"/>
    <w:pPr>
      <w:spacing w:after="120"/>
      <w:ind w:left="1440" w:right="1440"/>
    </w:pPr>
  </w:style>
  <w:style w:type="character" w:customStyle="1" w:styleId="Subscript">
    <w:name w:val="Subscript"/>
    <w:basedOn w:val="DefaultParagraphFont"/>
    <w:rsid w:val="00B224EA"/>
    <w:rPr>
      <w:sz w:val="16"/>
      <w:vertAlign w:val="subscript"/>
    </w:rPr>
  </w:style>
  <w:style w:type="character" w:customStyle="1" w:styleId="Superscript">
    <w:name w:val="Superscript"/>
    <w:basedOn w:val="DefaultParagraphFont"/>
    <w:rsid w:val="00B224EA"/>
    <w:rPr>
      <w:sz w:val="16"/>
      <w:vertAlign w:val="superscript"/>
    </w:rPr>
  </w:style>
  <w:style w:type="character" w:customStyle="1" w:styleId="Symbols">
    <w:name w:val="Symbols"/>
    <w:basedOn w:val="DefaultParagraphFont"/>
    <w:rsid w:val="00B224EA"/>
    <w:rPr>
      <w:rFonts w:ascii="Symbol" w:hAnsi="Symbol"/>
    </w:rPr>
  </w:style>
  <w:style w:type="character" w:customStyle="1" w:styleId="MenuOptions">
    <w:name w:val="Menu Options"/>
    <w:basedOn w:val="DefaultParagraphFont"/>
    <w:rsid w:val="00B224EA"/>
    <w:rPr>
      <w:rFonts w:ascii="Arial Narrow" w:hAnsi="Arial Narrow"/>
      <w:smallCaps/>
    </w:rPr>
  </w:style>
  <w:style w:type="character" w:customStyle="1" w:styleId="Buttons">
    <w:name w:val="Buttons"/>
    <w:basedOn w:val="DefaultParagraphFont"/>
    <w:rsid w:val="00B224EA"/>
    <w:rPr>
      <w:b/>
    </w:rPr>
  </w:style>
  <w:style w:type="character" w:customStyle="1" w:styleId="Underlined">
    <w:name w:val="Underlined"/>
    <w:basedOn w:val="DefaultParagraphFont"/>
    <w:rsid w:val="00B224EA"/>
    <w:rPr>
      <w:u w:val="single"/>
    </w:rPr>
  </w:style>
  <w:style w:type="paragraph" w:customStyle="1" w:styleId="TableBodyTextRight">
    <w:name w:val="Table Body Text Right"/>
    <w:basedOn w:val="TableBodyText"/>
    <w:rsid w:val="00B224EA"/>
    <w:pPr>
      <w:widowControl w:val="0"/>
      <w:autoSpaceDE w:val="0"/>
      <w:autoSpaceDN w:val="0"/>
      <w:adjustRightInd w:val="0"/>
      <w:jc w:val="right"/>
    </w:pPr>
    <w:rPr>
      <w:rFonts w:cs="Arial"/>
      <w:szCs w:val="18"/>
    </w:rPr>
  </w:style>
  <w:style w:type="paragraph" w:customStyle="1" w:styleId="CopyrightText">
    <w:name w:val="Copyright Text"/>
    <w:basedOn w:val="BodyText"/>
    <w:rsid w:val="00B224EA"/>
    <w:rPr>
      <w:sz w:val="18"/>
    </w:rPr>
  </w:style>
  <w:style w:type="paragraph" w:customStyle="1" w:styleId="BodySmallRight">
    <w:name w:val="Body Small Right"/>
    <w:basedOn w:val="BodyTextRight"/>
    <w:rsid w:val="00B224EA"/>
    <w:rPr>
      <w:sz w:val="18"/>
      <w:szCs w:val="18"/>
    </w:rPr>
  </w:style>
  <w:style w:type="paragraph" w:customStyle="1" w:styleId="MarginEdition">
    <w:name w:val="Margin Edition"/>
    <w:basedOn w:val="MarginNote"/>
    <w:rsid w:val="00B224EA"/>
    <w:pPr>
      <w:spacing w:before="0" w:after="0"/>
    </w:pPr>
    <w:rPr>
      <w:rFonts w:ascii="Times New Roman" w:hAnsi="Times New Roman"/>
      <w:color w:val="999999"/>
    </w:rPr>
  </w:style>
  <w:style w:type="paragraph" w:customStyle="1" w:styleId="Spacer">
    <w:name w:val="Spacer"/>
    <w:basedOn w:val="Normal"/>
    <w:rsid w:val="00B224EA"/>
    <w:rPr>
      <w:sz w:val="2"/>
      <w:szCs w:val="2"/>
    </w:rPr>
  </w:style>
  <w:style w:type="character" w:customStyle="1" w:styleId="Small">
    <w:name w:val="Small"/>
    <w:basedOn w:val="DefaultParagraphFont"/>
    <w:rsid w:val="00B224EA"/>
    <w:rPr>
      <w:sz w:val="16"/>
    </w:rPr>
  </w:style>
  <w:style w:type="paragraph" w:customStyle="1" w:styleId="WideTable">
    <w:name w:val="Wide Table"/>
    <w:basedOn w:val="Normal"/>
    <w:rsid w:val="00B224EA"/>
    <w:pPr>
      <w:ind w:left="-1418"/>
    </w:pPr>
    <w:rPr>
      <w:sz w:val="2"/>
      <w:szCs w:val="2"/>
    </w:rPr>
  </w:style>
  <w:style w:type="character" w:styleId="PageNumber">
    <w:name w:val="page number"/>
    <w:basedOn w:val="DefaultParagraphFont"/>
    <w:rsid w:val="00B224EA"/>
  </w:style>
  <w:style w:type="paragraph" w:styleId="Quote">
    <w:name w:val="Quote"/>
    <w:basedOn w:val="Heading1"/>
    <w:link w:val="QuoteChar"/>
    <w:qFormat/>
    <w:rsid w:val="00B224EA"/>
    <w:rPr>
      <w:b w:val="0"/>
      <w:sz w:val="72"/>
      <w:szCs w:val="72"/>
      <w:lang w:val="en-NZ"/>
    </w:rPr>
  </w:style>
  <w:style w:type="character" w:customStyle="1" w:styleId="QuoteChar">
    <w:name w:val="Quote Char"/>
    <w:basedOn w:val="DefaultParagraphFont"/>
    <w:link w:val="Quote"/>
    <w:rsid w:val="00B22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4EA"/>
    <w:pPr>
      <w:pageBreakBefore/>
    </w:pPr>
  </w:style>
  <w:style w:type="paragraph" w:customStyle="1" w:styleId="Border">
    <w:name w:val="Border"/>
    <w:basedOn w:val="Normal"/>
    <w:qFormat/>
    <w:rsid w:val="00B22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4EA"/>
    <w:rPr>
      <w:b/>
      <w:bCs/>
      <w:i/>
      <w:iCs/>
      <w:color w:val="auto"/>
    </w:rPr>
  </w:style>
  <w:style w:type="paragraph" w:styleId="IntenseQuote">
    <w:name w:val="Intense Quote"/>
    <w:basedOn w:val="Normal"/>
    <w:next w:val="Normal"/>
    <w:link w:val="IntenseQuoteChar"/>
    <w:uiPriority w:val="30"/>
    <w:qFormat/>
    <w:rsid w:val="00B22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4EA"/>
    <w:rPr>
      <w:smallCaps/>
      <w:color w:val="auto"/>
      <w:u w:val="single"/>
    </w:rPr>
  </w:style>
  <w:style w:type="character" w:styleId="IntenseReference">
    <w:name w:val="Intense Reference"/>
    <w:basedOn w:val="DefaultParagraphFont"/>
    <w:uiPriority w:val="32"/>
    <w:qFormat/>
    <w:rsid w:val="00B224EA"/>
    <w:rPr>
      <w:b/>
      <w:bCs/>
      <w:smallCaps/>
      <w:color w:val="auto"/>
      <w:spacing w:val="5"/>
      <w:u w:val="single"/>
    </w:rPr>
  </w:style>
  <w:style w:type="paragraph" w:customStyle="1" w:styleId="2ColumnHeading">
    <w:name w:val="2Column Heading"/>
    <w:basedOn w:val="BodyText"/>
    <w:qFormat/>
    <w:rsid w:val="00B224EA"/>
    <w:pPr>
      <w:spacing w:after="60"/>
      <w:ind w:left="-2268"/>
    </w:pPr>
    <w:rPr>
      <w:b/>
    </w:rPr>
  </w:style>
  <w:style w:type="paragraph" w:customStyle="1" w:styleId="Heading1TOC">
    <w:name w:val="Heading1 TOC"/>
    <w:basedOn w:val="Normal"/>
    <w:qFormat/>
    <w:rsid w:val="00B224EA"/>
    <w:pPr>
      <w:spacing w:before="240" w:after="120"/>
    </w:pPr>
    <w:rPr>
      <w:rFonts w:ascii="Times New Roman" w:hAnsi="Times New Roman"/>
      <w:b/>
      <w:sz w:val="32"/>
    </w:rPr>
  </w:style>
  <w:style w:type="paragraph" w:customStyle="1" w:styleId="Heading2TOC">
    <w:name w:val="Heading2 TOC"/>
    <w:basedOn w:val="Normal"/>
    <w:qFormat/>
    <w:rsid w:val="00B224EA"/>
    <w:pPr>
      <w:spacing w:before="240" w:after="60"/>
    </w:pPr>
    <w:rPr>
      <w:rFonts w:ascii="Times New Roman" w:hAnsi="Times New Roman"/>
      <w:b/>
      <w:sz w:val="28"/>
    </w:rPr>
  </w:style>
  <w:style w:type="character" w:customStyle="1" w:styleId="Underline">
    <w:name w:val="Underline"/>
    <w:basedOn w:val="DefaultParagraphFont"/>
    <w:qFormat/>
    <w:rsid w:val="00B224EA"/>
    <w:rPr>
      <w:u w:val="single"/>
    </w:rPr>
  </w:style>
  <w:style w:type="character" w:customStyle="1" w:styleId="BoldandItalics">
    <w:name w:val="Bold and Italics"/>
    <w:qFormat/>
    <w:rsid w:val="00B224EA"/>
    <w:rPr>
      <w:b/>
      <w:i/>
      <w:u w:val="none"/>
    </w:rPr>
  </w:style>
  <w:style w:type="paragraph" w:styleId="BalloonText">
    <w:name w:val="Balloon Text"/>
    <w:basedOn w:val="Normal"/>
    <w:link w:val="BalloonTextChar"/>
    <w:rsid w:val="00B224EA"/>
    <w:rPr>
      <w:rFonts w:ascii="Tahoma" w:hAnsi="Tahoma" w:cs="Tahoma"/>
      <w:sz w:val="16"/>
      <w:szCs w:val="16"/>
    </w:rPr>
  </w:style>
  <w:style w:type="character" w:customStyle="1" w:styleId="BalloonTextChar">
    <w:name w:val="Balloon Text Char"/>
    <w:basedOn w:val="DefaultParagraphFont"/>
    <w:link w:val="BalloonText"/>
    <w:rsid w:val="00B22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4EA"/>
    <w:rPr>
      <w:b/>
      <w:color w:val="660033"/>
      <w:spacing w:val="0"/>
    </w:rPr>
  </w:style>
  <w:style w:type="paragraph" w:customStyle="1" w:styleId="Nameditemlist">
    <w:name w:val="Named item list"/>
    <w:basedOn w:val="BodyText"/>
    <w:qFormat/>
    <w:rsid w:val="00B224EA"/>
    <w:pPr>
      <w:tabs>
        <w:tab w:val="left" w:pos="2835"/>
      </w:tabs>
      <w:ind w:left="2835" w:hanging="2835"/>
    </w:pPr>
  </w:style>
  <w:style w:type="paragraph" w:customStyle="1" w:styleId="BodyTextnopadding">
    <w:name w:val="Body Text no padding"/>
    <w:basedOn w:val="BodyText"/>
    <w:qFormat/>
    <w:rsid w:val="00B224EA"/>
    <w:pPr>
      <w:spacing w:before="0" w:after="0"/>
    </w:pPr>
  </w:style>
  <w:style w:type="paragraph" w:customStyle="1" w:styleId="BodyTextBold">
    <w:name w:val="Body Text Bold"/>
    <w:basedOn w:val="BodyText"/>
    <w:qFormat/>
    <w:rsid w:val="00B224EA"/>
    <w:rPr>
      <w:b/>
    </w:rPr>
  </w:style>
  <w:style w:type="character" w:styleId="Hyperlink">
    <w:name w:val="Hyperlink"/>
    <w:basedOn w:val="DefaultParagraphFont"/>
    <w:uiPriority w:val="99"/>
    <w:unhideWhenUsed/>
    <w:rsid w:val="00576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6384</Characters>
  <Application>Microsoft Office Word</Application>
  <DocSecurity>0</DocSecurity>
  <Lines>220</Lines>
  <Paragraphs>135</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NWPGEN024 Identify the role and functions of the water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