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0C31" w:rsidP="00690C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NWPGEN018 Follow environmental and licensing procedures</w:t>
      </w:r>
      <w:r>
        <w:fldChar w:fldCharType="end"/>
      </w:r>
    </w:p>
    <w:p w:rsidR="00690C31" w:rsidP="00690C31">
      <w:pPr>
        <w:pStyle w:val="Version"/>
        <w:sectPr w:rsidSect="00D432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322D" w:rsidP="00D4322D">
      <w:pPr>
        <w:pStyle w:val="SuperHeading"/>
      </w:pPr>
      <w:r w:rsidRPr="00D4322D">
        <w:t>NWPGEN018 Follow environmental and licensing procedures</w:t>
      </w:r>
    </w:p>
    <w:p w:rsidR="00000000" w:rsidRPr="00D4322D" w:rsidP="00D4322D">
      <w:pPr>
        <w:pStyle w:val="Heading1"/>
      </w:pPr>
      <w:bookmarkStart w:id="1" w:name="O_1061420"/>
      <w:bookmarkEnd w:id="1"/>
      <w:r w:rsidRPr="00D4322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2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22D" w:rsidP="00D4322D">
            <w:pPr>
              <w:pStyle w:val="BodyText"/>
            </w:pPr>
            <w:r w:rsidRPr="00D4322D">
              <w:t>Release 1. This is the first release of this unit of competency in the NWP National Water Training Package.</w:t>
            </w:r>
          </w:p>
        </w:tc>
      </w:tr>
    </w:tbl>
    <w:p w:rsidR="00000000" w:rsidRPr="00D4322D" w:rsidP="00D4322D">
      <w:pPr>
        <w:pStyle w:val="NoPaddingFontSize1"/>
      </w:pPr>
    </w:p>
    <w:p w:rsidR="00000000" w:rsidRPr="00D4322D" w:rsidP="00D4322D">
      <w:pPr>
        <w:pStyle w:val="AllowPageBreak"/>
      </w:pPr>
    </w:p>
    <w:p w:rsidR="00000000" w:rsidRPr="00D4322D" w:rsidP="00D4322D">
      <w:pPr>
        <w:pStyle w:val="Heading1"/>
      </w:pPr>
      <w:bookmarkStart w:id="2" w:name="O_1061421"/>
      <w:bookmarkEnd w:id="2"/>
      <w:r w:rsidRPr="00D4322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2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22D" w:rsidP="00D4322D">
            <w:pPr>
              <w:pStyle w:val="BodyText"/>
            </w:pPr>
            <w:r w:rsidRPr="00D4322D">
              <w:t>This unit involves the skills and knowledge required to follow environmental</w:t>
            </w:r>
            <w:r w:rsidRPr="00D4322D">
              <w:t xml:space="preserve"> and licensing procedures.</w:t>
            </w:r>
          </w:p>
          <w:p w:rsidR="00000000" w:rsidRPr="00D4322D" w:rsidP="00D4322D">
            <w:pPr>
              <w:pStyle w:val="BodyText"/>
            </w:pPr>
            <w:r w:rsidRPr="00D4322D">
              <w:t>It includes relating environmental procedures to specific projects or worksites and reporting on environmental processes and incidents.  It also includes implementing established environmental and licensing procedures, contributi</w:t>
            </w:r>
            <w:r w:rsidRPr="00D4322D">
              <w:t>ng to improving environmental practices in identifying and minimising environmental risks and impacts of work-related activities on the local environment.</w:t>
            </w:r>
          </w:p>
          <w:p w:rsidR="00000000" w:rsidRPr="00D4322D" w:rsidP="00D4322D">
            <w:pPr>
              <w:pStyle w:val="BodyText"/>
            </w:pPr>
            <w:r w:rsidRPr="00D4322D">
              <w:t xml:space="preserve">Those undertaking this unit would work under appropriate supervision while performing specific tasks </w:t>
            </w:r>
            <w:r w:rsidRPr="00D4322D">
              <w:t>in a broad range of contexts.</w:t>
            </w:r>
          </w:p>
          <w:p w:rsidR="00000000" w:rsidRPr="00D4322D" w:rsidP="00D4322D">
            <w:pPr>
              <w:pStyle w:val="BodyText"/>
            </w:pPr>
            <w:r w:rsidRPr="00D4322D">
              <w:t>No licensing, legislative or certification requirements apply to this unit at the time of publication.</w:t>
            </w:r>
          </w:p>
        </w:tc>
      </w:tr>
    </w:tbl>
    <w:p w:rsidR="00000000" w:rsidRPr="00D4322D" w:rsidP="00D4322D">
      <w:pPr>
        <w:pStyle w:val="NoPaddingFontSize1"/>
      </w:pPr>
    </w:p>
    <w:p w:rsidR="00000000" w:rsidRPr="00D4322D" w:rsidP="00D4322D">
      <w:pPr>
        <w:pStyle w:val="AllowPageBreak"/>
      </w:pPr>
    </w:p>
    <w:p w:rsidR="00000000" w:rsidRPr="00D4322D" w:rsidP="00D4322D">
      <w:pPr>
        <w:pStyle w:val="Heading1"/>
      </w:pPr>
      <w:bookmarkStart w:id="3" w:name="O_1061422"/>
      <w:bookmarkEnd w:id="3"/>
      <w:r w:rsidRPr="00D4322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2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22D" w:rsidP="00D4322D">
            <w:pPr>
              <w:pStyle w:val="BodyText"/>
            </w:pPr>
            <w:r w:rsidRPr="00D4322D">
              <w:t>Not applicable.</w:t>
            </w:r>
          </w:p>
        </w:tc>
      </w:tr>
    </w:tbl>
    <w:p w:rsidR="00000000" w:rsidRPr="00D4322D" w:rsidP="00D4322D">
      <w:pPr>
        <w:pStyle w:val="NoPaddingFontSize1"/>
      </w:pPr>
    </w:p>
    <w:p w:rsidR="00000000" w:rsidRPr="00D4322D" w:rsidP="00D4322D">
      <w:pPr>
        <w:pStyle w:val="AllowPageBreak"/>
      </w:pPr>
    </w:p>
    <w:p w:rsidR="00000000" w:rsidRPr="00D4322D" w:rsidP="00D4322D">
      <w:pPr>
        <w:pStyle w:val="Heading1"/>
      </w:pPr>
      <w:bookmarkStart w:id="4" w:name="O_1061423"/>
      <w:bookmarkEnd w:id="4"/>
      <w:r w:rsidRPr="00D4322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2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22D" w:rsidP="00D4322D">
            <w:pPr>
              <w:pStyle w:val="BodyText"/>
            </w:pPr>
            <w:r w:rsidRPr="00D4322D">
              <w:t>General</w:t>
            </w:r>
          </w:p>
        </w:tc>
      </w:tr>
    </w:tbl>
    <w:p w:rsidR="00000000" w:rsidRPr="00D4322D" w:rsidP="00D4322D">
      <w:pPr>
        <w:pStyle w:val="NoPaddingFontSize1"/>
      </w:pPr>
    </w:p>
    <w:p w:rsidR="00000000" w:rsidRPr="00D4322D" w:rsidP="00D4322D">
      <w:pPr>
        <w:pStyle w:val="AllowPageBreak"/>
      </w:pPr>
    </w:p>
    <w:p w:rsidR="00000000" w:rsidRPr="00D4322D" w:rsidP="00D4322D">
      <w:pPr>
        <w:pStyle w:val="Heading1"/>
      </w:pPr>
      <w:bookmarkStart w:id="5" w:name="O_1061424"/>
      <w:bookmarkEnd w:id="5"/>
      <w:r w:rsidRPr="00D4322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2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22D" w:rsidP="00D4322D">
            <w:pPr>
              <w:pStyle w:val="BodyText"/>
            </w:pPr>
            <w:r w:rsidRPr="00D4322D">
              <w:t>Not applicable.</w:t>
            </w:r>
          </w:p>
        </w:tc>
      </w:tr>
    </w:tbl>
    <w:p w:rsidR="00000000" w:rsidRPr="00D4322D" w:rsidP="00D4322D">
      <w:pPr>
        <w:pStyle w:val="NoPaddingFontSize1"/>
      </w:pPr>
    </w:p>
    <w:p w:rsidR="00000000" w:rsidRPr="00D4322D" w:rsidP="00D4322D">
      <w:pPr>
        <w:pStyle w:val="AllowPageBreak"/>
      </w:pPr>
    </w:p>
    <w:p w:rsidR="00000000" w:rsidRPr="00D4322D" w:rsidP="00D4322D">
      <w:pPr>
        <w:pStyle w:val="Heading1"/>
      </w:pPr>
      <w:bookmarkStart w:id="6" w:name="O_1061425"/>
      <w:bookmarkEnd w:id="6"/>
      <w:r w:rsidRPr="00D4322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432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22D" w:rsidP="00D4322D">
            <w:pPr>
              <w:pStyle w:val="BodyText"/>
            </w:pPr>
            <w:r w:rsidRPr="00D4322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2D">
            <w:pPr>
              <w:pStyle w:val="BodyText"/>
              <w:rPr>
                <w:lang w:val="en-NZ"/>
              </w:rPr>
            </w:pPr>
            <w:r w:rsidRPr="00D4322D">
              <w:rPr>
                <w:rStyle w:val="SpecialBold"/>
              </w:rPr>
              <w:t>PERFORMANCE CRITERIA</w:t>
            </w:r>
          </w:p>
        </w:tc>
      </w:tr>
      <w:tr w:rsidTr="00D432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2D">
            <w:pPr>
              <w:pStyle w:val="BodyText"/>
              <w:rPr>
                <w:lang w:val="en-NZ"/>
              </w:rPr>
            </w:pPr>
            <w:r w:rsidRPr="00D4322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2D">
            <w:pPr>
              <w:pStyle w:val="BodyText"/>
              <w:rPr>
                <w:lang w:val="en-NZ"/>
              </w:rPr>
            </w:pPr>
            <w:r w:rsidRPr="00D4322D">
              <w:t>Performance criteria describe the performance needed to demonstrate achievement of the element.</w:t>
            </w:r>
          </w:p>
        </w:tc>
      </w:tr>
      <w:tr w:rsidTr="00D432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22D" w:rsidP="00D4322D">
            <w:pPr>
              <w:pStyle w:val="BodyText"/>
            </w:pPr>
            <w:r w:rsidRPr="00D4322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22D" w:rsidP="00D4322D">
            <w:pPr>
              <w:pStyle w:val="BodyText"/>
            </w:pPr>
            <w:r w:rsidRPr="00D4322D">
              <w:rPr>
                <w:rStyle w:val="SpecialBold"/>
              </w:rPr>
              <w:t>Follow environmental procedures at worksite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2D">
            <w:pPr>
              <w:pStyle w:val="BodyText"/>
              <w:rPr>
                <w:lang w:val="en-NZ"/>
              </w:rPr>
            </w:pPr>
            <w:r w:rsidRPr="00D4322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2D">
            <w:pPr>
              <w:pStyle w:val="BodyText"/>
              <w:rPr>
                <w:lang w:val="en-NZ"/>
              </w:rPr>
            </w:pPr>
            <w:r w:rsidRPr="00D4322D">
              <w:t>Identify and follow organisational environmental procedures and relevant legislative, regulatory and licensing requirements</w:t>
            </w:r>
          </w:p>
        </w:tc>
      </w:tr>
      <w:tr w:rsidTr="00D432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2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2D">
            <w:pPr>
              <w:pStyle w:val="BodyText"/>
              <w:rPr>
                <w:lang w:val="en-NZ"/>
              </w:rPr>
            </w:pPr>
            <w:r w:rsidRPr="00D4322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2D">
            <w:pPr>
              <w:pStyle w:val="BodyText"/>
              <w:rPr>
                <w:lang w:val="en-NZ"/>
              </w:rPr>
            </w:pPr>
            <w:r w:rsidRPr="00D4322D">
              <w:t>Identify and record environmental risks and impacts at worksite</w:t>
            </w:r>
          </w:p>
        </w:tc>
      </w:tr>
      <w:tr w:rsidTr="00D432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2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2D">
            <w:pPr>
              <w:pStyle w:val="BodyText"/>
              <w:rPr>
                <w:lang w:val="en-NZ"/>
              </w:rPr>
            </w:pPr>
            <w:r w:rsidRPr="00D4322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2D">
            <w:pPr>
              <w:pStyle w:val="BodyText"/>
              <w:rPr>
                <w:lang w:val="en-NZ"/>
              </w:rPr>
            </w:pPr>
            <w:r w:rsidRPr="00D4322D">
              <w:t>Plan control measures to overcome identified risks and meet required environmental outcomes at worksite</w:t>
            </w:r>
          </w:p>
        </w:tc>
      </w:tr>
      <w:tr w:rsidTr="00D432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2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2D">
            <w:pPr>
              <w:pStyle w:val="BodyText"/>
              <w:rPr>
                <w:lang w:val="en-NZ"/>
              </w:rPr>
            </w:pPr>
            <w:r w:rsidRPr="00D4322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2D">
            <w:pPr>
              <w:pStyle w:val="BodyText"/>
              <w:rPr>
                <w:lang w:val="en-NZ"/>
              </w:rPr>
            </w:pPr>
            <w:r w:rsidRPr="00D4322D">
              <w:t>Follow organisational procedures for dealing with potential environmental incidents at worksite</w:t>
            </w:r>
          </w:p>
        </w:tc>
      </w:tr>
      <w:tr w:rsidTr="00D432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22D" w:rsidP="00D4322D">
            <w:pPr>
              <w:pStyle w:val="BodyText"/>
            </w:pPr>
            <w:r w:rsidRPr="00D4322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22D" w:rsidP="00D4322D">
            <w:pPr>
              <w:pStyle w:val="BodyText"/>
            </w:pPr>
            <w:r w:rsidRPr="00D4322D">
              <w:rPr>
                <w:rStyle w:val="SpecialBold"/>
              </w:rPr>
              <w:t>Report environmental processes and incidents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2D">
            <w:pPr>
              <w:pStyle w:val="BodyText"/>
              <w:rPr>
                <w:lang w:val="en-NZ"/>
              </w:rPr>
            </w:pPr>
            <w:r w:rsidRPr="00D4322D">
              <w:rPr>
                <w:rStyle w:val="SpecialBold"/>
              </w:rPr>
              <w:t>2</w:t>
            </w:r>
            <w:r w:rsidRPr="00D4322D">
              <w:rPr>
                <w:rStyle w:val="SpecialBold"/>
              </w:rPr>
              <w:t>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2D">
            <w:pPr>
              <w:pStyle w:val="BodyText"/>
              <w:rPr>
                <w:lang w:val="en-NZ"/>
              </w:rPr>
            </w:pPr>
            <w:r w:rsidRPr="00D4322D">
              <w:t>Access documentation relating to environmental management reports</w:t>
            </w:r>
          </w:p>
        </w:tc>
      </w:tr>
      <w:tr w:rsidTr="00D432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2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2D">
            <w:pPr>
              <w:pStyle w:val="BodyText"/>
              <w:rPr>
                <w:lang w:val="en-NZ"/>
              </w:rPr>
            </w:pPr>
            <w:r w:rsidRPr="00D4322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2D">
            <w:pPr>
              <w:pStyle w:val="BodyText"/>
              <w:rPr>
                <w:lang w:val="en-NZ"/>
              </w:rPr>
            </w:pPr>
            <w:r w:rsidRPr="00D4322D">
              <w:t>Identify and report environmental risks to relevant personnel</w:t>
            </w:r>
          </w:p>
        </w:tc>
      </w:tr>
      <w:tr w:rsidTr="00D432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2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2D">
            <w:pPr>
              <w:pStyle w:val="BodyText"/>
              <w:rPr>
                <w:lang w:val="en-NZ"/>
              </w:rPr>
            </w:pPr>
            <w:r w:rsidRPr="00D4322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2D">
            <w:pPr>
              <w:pStyle w:val="BodyText"/>
              <w:rPr>
                <w:lang w:val="en-NZ"/>
              </w:rPr>
            </w:pPr>
            <w:r w:rsidRPr="00D4322D">
              <w:t>Record and report incidents while monitoring conformance</w:t>
            </w:r>
          </w:p>
        </w:tc>
      </w:tr>
      <w:tr w:rsidTr="00D432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2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22D">
            <w:pPr>
              <w:pStyle w:val="BodyText"/>
              <w:rPr>
                <w:lang w:val="en-NZ"/>
              </w:rPr>
            </w:pPr>
            <w:r w:rsidRPr="00D4322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22D" w:rsidP="00D4322D">
            <w:pPr>
              <w:pStyle w:val="BodyText"/>
            </w:pPr>
            <w:r w:rsidRPr="00D4322D">
              <w:t>Report licensing breaches to relevant personnel or agencies</w:t>
            </w:r>
          </w:p>
        </w:tc>
      </w:tr>
    </w:tbl>
    <w:p w:rsidR="00000000" w:rsidRPr="00D4322D" w:rsidP="00D4322D">
      <w:pPr>
        <w:pStyle w:val="NoPaddingFontSize1"/>
      </w:pPr>
    </w:p>
    <w:p w:rsidR="00000000" w:rsidRPr="00D4322D" w:rsidP="00D4322D">
      <w:pPr>
        <w:pStyle w:val="AllowPageBreak"/>
      </w:pPr>
    </w:p>
    <w:p w:rsidR="00000000" w:rsidRPr="00D4322D" w:rsidP="00D4322D">
      <w:pPr>
        <w:pStyle w:val="Heading1"/>
      </w:pPr>
      <w:bookmarkStart w:id="7" w:name="O_1061426"/>
      <w:bookmarkEnd w:id="7"/>
      <w:r w:rsidRPr="00D4322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2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22D" w:rsidP="00D4322D">
            <w:pPr>
              <w:pStyle w:val="BodyText"/>
            </w:pPr>
            <w:r w:rsidRPr="00D4322D">
              <w:t>Foundation skills essential to performance are explicit in the performance criteria of this unit of competency.</w:t>
            </w:r>
          </w:p>
        </w:tc>
      </w:tr>
    </w:tbl>
    <w:p w:rsidR="00000000" w:rsidRPr="00D4322D" w:rsidP="00D4322D">
      <w:pPr>
        <w:pStyle w:val="NoPaddingFontSize1"/>
      </w:pPr>
    </w:p>
    <w:p w:rsidR="00000000" w:rsidRPr="00D4322D" w:rsidP="00D4322D">
      <w:pPr>
        <w:pStyle w:val="AllowPageBreak"/>
      </w:pPr>
    </w:p>
    <w:p w:rsidR="00000000" w:rsidRPr="00D4322D" w:rsidP="00D4322D">
      <w:pPr>
        <w:pStyle w:val="Heading1"/>
      </w:pPr>
      <w:bookmarkStart w:id="8" w:name="O_1061427"/>
      <w:bookmarkEnd w:id="8"/>
      <w:r w:rsidRPr="00D4322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2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22D" w:rsidP="00D4322D">
            <w:pPr>
              <w:pStyle w:val="BodyText"/>
            </w:pPr>
            <w:r w:rsidRPr="00D4322D">
              <w:t>Range is restricted to essential operating conditions and any other variables essential to the work environment.</w:t>
            </w:r>
          </w:p>
          <w:p w:rsidR="00000000" w:rsidRPr="00D4322D" w:rsidP="00D4322D">
            <w:pPr>
              <w:pStyle w:val="BodyText"/>
            </w:pPr>
            <w:r w:rsidRPr="00D4322D">
              <w:t>Non-essential conditions may be found in the Companion Volume Implementation Guide.</w:t>
            </w:r>
          </w:p>
        </w:tc>
      </w:tr>
    </w:tbl>
    <w:p w:rsidR="00000000" w:rsidRPr="00D4322D" w:rsidP="00D4322D">
      <w:pPr>
        <w:pStyle w:val="NoPaddingFontSize1"/>
      </w:pPr>
    </w:p>
    <w:p w:rsidR="00000000" w:rsidRPr="00D4322D" w:rsidP="00D4322D">
      <w:pPr>
        <w:pStyle w:val="AllowPageBreak"/>
      </w:pPr>
    </w:p>
    <w:p w:rsidR="00000000" w:rsidRPr="00D4322D" w:rsidP="00D4322D">
      <w:pPr>
        <w:pStyle w:val="Heading1"/>
      </w:pPr>
      <w:bookmarkStart w:id="9" w:name="O_1061428"/>
      <w:bookmarkEnd w:id="9"/>
      <w:r w:rsidRPr="00D4322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2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22D" w:rsidP="00D4322D">
            <w:pPr>
              <w:pStyle w:val="BodyText"/>
            </w:pPr>
            <w:r w:rsidRPr="00D4322D">
              <w:t>This unit replaces and is equivalent to NWPGEN003 Apply environmental and licensing procedures of the water industry.</w:t>
            </w:r>
          </w:p>
        </w:tc>
      </w:tr>
    </w:tbl>
    <w:p w:rsidR="00000000" w:rsidRPr="00D4322D" w:rsidP="00D4322D">
      <w:pPr>
        <w:pStyle w:val="NoPaddingFontSize1"/>
      </w:pPr>
    </w:p>
    <w:p w:rsidR="00000000" w:rsidRPr="00D4322D" w:rsidP="00D4322D">
      <w:pPr>
        <w:pStyle w:val="AllowPageBreak"/>
      </w:pPr>
    </w:p>
    <w:p w:rsidR="00000000" w:rsidRPr="00D4322D" w:rsidP="00D4322D">
      <w:pPr>
        <w:pStyle w:val="Heading1"/>
      </w:pPr>
      <w:bookmarkStart w:id="10" w:name="O_1061435"/>
      <w:bookmarkEnd w:id="10"/>
      <w:r w:rsidRPr="00D4322D">
        <w:t>Links</w:t>
      </w:r>
    </w:p>
    <w:p w:rsidR="00000000" w:rsidRPr="00D4322D" w:rsidP="00690C31">
      <w:pPr>
        <w:pStyle w:val="BodyText"/>
      </w:pPr>
      <w:r w:rsidRPr="00D432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D3A2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4322D" w:rsidP="00690C31">
      <w:pPr>
        <w:pStyle w:val="BodyText"/>
      </w:pPr>
      <w:r w:rsidRPr="00D432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D3A2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4322D" w:rsidP="00690C31">
      <w:pPr>
        <w:pStyle w:val="BodyText"/>
      </w:pPr>
      <w:r w:rsidRPr="00D432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D3A2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4322D" w:rsidP="00D4322D"/>
    <w:sectPr w:rsidSect="00D432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2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22D" w:rsidRPr="00690C31" w:rsidP="00690C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2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C31" w:rsidP="00D432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0C31" w:rsidP="00D432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90C31" w:rsidP="00D432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2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C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322D" w:rsidRPr="00690C31" w:rsidP="00690C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2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C31" w:rsidRPr="002D2AF8" w:rsidP="00D432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NWPGEN018 Follow environmental and licensing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690C31" w:rsidP="00D432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2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32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32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32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32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32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32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32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32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32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32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322D"/>
  </w:style>
  <w:style w:type="character" w:customStyle="1" w:styleId="Heading1Char">
    <w:name w:val="Heading 1 Char"/>
    <w:basedOn w:val="DefaultParagraphFont"/>
    <w:link w:val="Heading1"/>
    <w:rsid w:val="00D432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32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322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4322D"/>
    <w:rPr>
      <w:b/>
      <w:spacing w:val="0"/>
    </w:rPr>
  </w:style>
  <w:style w:type="paragraph" w:customStyle="1" w:styleId="SuperHeading">
    <w:name w:val="SuperHeading"/>
    <w:basedOn w:val="Normal"/>
    <w:rsid w:val="00D432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32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432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32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32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3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3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3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3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32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32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32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32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32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32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32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32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32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32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32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32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322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432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32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32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32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322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32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32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32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32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32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32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32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32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32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322D"/>
    <w:rPr>
      <w:i/>
    </w:rPr>
  </w:style>
  <w:style w:type="paragraph" w:styleId="Caption">
    <w:name w:val="caption"/>
    <w:basedOn w:val="BodyText"/>
    <w:next w:val="Normal"/>
    <w:qFormat/>
    <w:rsid w:val="00D432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32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32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322D"/>
  </w:style>
  <w:style w:type="paragraph" w:styleId="TableofFigures">
    <w:name w:val="table of figures"/>
    <w:basedOn w:val="Normal"/>
    <w:next w:val="Normal"/>
    <w:semiHidden/>
    <w:rsid w:val="00D432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322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4322D"/>
    <w:rPr>
      <w:rFonts w:ascii="Wingdings" w:hAnsi="Wingdings"/>
    </w:rPr>
  </w:style>
  <w:style w:type="paragraph" w:customStyle="1" w:styleId="TableHeading">
    <w:name w:val="Table Heading"/>
    <w:basedOn w:val="HeadingBase"/>
    <w:rsid w:val="00D432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322D"/>
    <w:rPr>
      <w:color w:val="0033CC"/>
      <w:u w:val="none"/>
    </w:rPr>
  </w:style>
  <w:style w:type="paragraph" w:customStyle="1" w:styleId="BodyTextRight">
    <w:name w:val="Body Text Right"/>
    <w:basedOn w:val="BodyText"/>
    <w:rsid w:val="00D432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32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322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32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32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32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322D"/>
    <w:rPr>
      <w:sz w:val="32"/>
    </w:rPr>
  </w:style>
  <w:style w:type="paragraph" w:customStyle="1" w:styleId="HeadingProcedure">
    <w:name w:val="Heading Procedure"/>
    <w:basedOn w:val="HeadingBase"/>
    <w:next w:val="Normal"/>
    <w:rsid w:val="00D432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322D"/>
    <w:pPr>
      <w:spacing w:before="60" w:after="60"/>
    </w:pPr>
  </w:style>
  <w:style w:type="paragraph" w:styleId="ListContinue">
    <w:name w:val="List Continue"/>
    <w:basedOn w:val="List"/>
    <w:rsid w:val="00D4322D"/>
    <w:pPr>
      <w:ind w:firstLine="0"/>
    </w:pPr>
  </w:style>
  <w:style w:type="paragraph" w:customStyle="1" w:styleId="ListNote">
    <w:name w:val="List Note"/>
    <w:basedOn w:val="List"/>
    <w:rsid w:val="00D432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32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32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322D"/>
    <w:rPr>
      <w:rFonts w:ascii="Courier New" w:hAnsi="Courier New"/>
    </w:rPr>
  </w:style>
  <w:style w:type="paragraph" w:customStyle="1" w:styleId="NoteBullet">
    <w:name w:val="Note Bullet"/>
    <w:basedOn w:val="Note"/>
    <w:rsid w:val="00D432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32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32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32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322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432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32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322D"/>
    <w:rPr>
      <w:b/>
      <w:smallCaps/>
    </w:rPr>
  </w:style>
  <w:style w:type="paragraph" w:customStyle="1" w:styleId="TableListNumber">
    <w:name w:val="Table List Number"/>
    <w:basedOn w:val="ListNumber"/>
    <w:rsid w:val="00D432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32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322D"/>
    <w:pPr>
      <w:numPr>
        <w:numId w:val="7"/>
      </w:numPr>
    </w:pPr>
  </w:style>
  <w:style w:type="paragraph" w:customStyle="1" w:styleId="ListAlpha2">
    <w:name w:val="List Alpha 2"/>
    <w:basedOn w:val="List2"/>
    <w:rsid w:val="00D4322D"/>
    <w:pPr>
      <w:numPr>
        <w:numId w:val="6"/>
      </w:numPr>
    </w:pPr>
  </w:style>
  <w:style w:type="paragraph" w:styleId="List2">
    <w:name w:val="List 2"/>
    <w:basedOn w:val="BodyText"/>
    <w:rsid w:val="00D432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32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32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32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322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322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4322D"/>
    <w:pPr>
      <w:numPr>
        <w:numId w:val="2"/>
      </w:numPr>
    </w:pPr>
  </w:style>
  <w:style w:type="paragraph" w:styleId="ListContinue2">
    <w:name w:val="List Continue 2"/>
    <w:basedOn w:val="List2"/>
    <w:rsid w:val="00D4322D"/>
    <w:pPr>
      <w:ind w:firstLine="0"/>
    </w:pPr>
  </w:style>
  <w:style w:type="paragraph" w:styleId="ListContinue3">
    <w:name w:val="List Continue 3"/>
    <w:basedOn w:val="List3"/>
    <w:rsid w:val="00D4322D"/>
    <w:pPr>
      <w:ind w:left="1021" w:firstLine="0"/>
    </w:pPr>
  </w:style>
  <w:style w:type="paragraph" w:styleId="ListContinue4">
    <w:name w:val="List Continue 4"/>
    <w:basedOn w:val="List4"/>
    <w:rsid w:val="00D4322D"/>
    <w:pPr>
      <w:ind w:firstLine="0"/>
    </w:pPr>
  </w:style>
  <w:style w:type="paragraph" w:styleId="ListContinue5">
    <w:name w:val="List Continue 5"/>
    <w:basedOn w:val="List5"/>
    <w:rsid w:val="00D4322D"/>
    <w:pPr>
      <w:ind w:firstLine="0"/>
    </w:pPr>
  </w:style>
  <w:style w:type="paragraph" w:styleId="ListNumber3">
    <w:name w:val="List Number 3"/>
    <w:basedOn w:val="List3"/>
    <w:rsid w:val="00D4322D"/>
    <w:pPr>
      <w:numPr>
        <w:numId w:val="3"/>
      </w:numPr>
    </w:pPr>
  </w:style>
  <w:style w:type="paragraph" w:styleId="ListNumber4">
    <w:name w:val="List Number 4"/>
    <w:basedOn w:val="List4"/>
    <w:rsid w:val="00D4322D"/>
    <w:pPr>
      <w:numPr>
        <w:numId w:val="4"/>
      </w:numPr>
    </w:pPr>
  </w:style>
  <w:style w:type="paragraph" w:styleId="ListNumber5">
    <w:name w:val="List Number 5"/>
    <w:basedOn w:val="List5"/>
    <w:rsid w:val="00D4322D"/>
    <w:pPr>
      <w:numPr>
        <w:numId w:val="5"/>
      </w:numPr>
    </w:pPr>
  </w:style>
  <w:style w:type="paragraph" w:styleId="BlockText">
    <w:name w:val="Block Text"/>
    <w:basedOn w:val="Normal"/>
    <w:rsid w:val="00D432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32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322D"/>
    <w:rPr>
      <w:sz w:val="16"/>
      <w:vertAlign w:val="superscript"/>
    </w:rPr>
  </w:style>
  <w:style w:type="character" w:customStyle="1" w:styleId="Symbols">
    <w:name w:val="Symbols"/>
    <w:basedOn w:val="DefaultParagraphFont"/>
    <w:rsid w:val="00D4322D"/>
    <w:rPr>
      <w:rFonts w:ascii="Symbol" w:hAnsi="Symbol"/>
    </w:rPr>
  </w:style>
  <w:style w:type="character" w:customStyle="1" w:styleId="MenuOptions">
    <w:name w:val="Menu Options"/>
    <w:basedOn w:val="DefaultParagraphFont"/>
    <w:rsid w:val="00D432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322D"/>
    <w:rPr>
      <w:b/>
    </w:rPr>
  </w:style>
  <w:style w:type="character" w:customStyle="1" w:styleId="Underlined">
    <w:name w:val="Underlined"/>
    <w:basedOn w:val="DefaultParagraphFont"/>
    <w:rsid w:val="00D4322D"/>
    <w:rPr>
      <w:u w:val="single"/>
    </w:rPr>
  </w:style>
  <w:style w:type="paragraph" w:customStyle="1" w:styleId="TableBodyTextRight">
    <w:name w:val="Table Body Text Right"/>
    <w:basedOn w:val="TableBodyText"/>
    <w:rsid w:val="00D432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322D"/>
    <w:rPr>
      <w:sz w:val="18"/>
    </w:rPr>
  </w:style>
  <w:style w:type="paragraph" w:customStyle="1" w:styleId="BodySmallRight">
    <w:name w:val="Body Small Right"/>
    <w:basedOn w:val="BodyTextRight"/>
    <w:rsid w:val="00D4322D"/>
    <w:rPr>
      <w:sz w:val="18"/>
      <w:szCs w:val="18"/>
    </w:rPr>
  </w:style>
  <w:style w:type="paragraph" w:customStyle="1" w:styleId="MarginEdition">
    <w:name w:val="Margin Edition"/>
    <w:basedOn w:val="MarginNote"/>
    <w:rsid w:val="00D432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322D"/>
    <w:rPr>
      <w:sz w:val="2"/>
      <w:szCs w:val="2"/>
    </w:rPr>
  </w:style>
  <w:style w:type="character" w:customStyle="1" w:styleId="Small">
    <w:name w:val="Small"/>
    <w:basedOn w:val="DefaultParagraphFont"/>
    <w:rsid w:val="00D4322D"/>
    <w:rPr>
      <w:sz w:val="16"/>
    </w:rPr>
  </w:style>
  <w:style w:type="paragraph" w:customStyle="1" w:styleId="WideTable">
    <w:name w:val="Wide Table"/>
    <w:basedOn w:val="Normal"/>
    <w:rsid w:val="00D432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322D"/>
  </w:style>
  <w:style w:type="paragraph" w:styleId="Quote">
    <w:name w:val="Quote"/>
    <w:basedOn w:val="Heading1"/>
    <w:link w:val="QuoteChar"/>
    <w:qFormat/>
    <w:rsid w:val="00D432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32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322D"/>
    <w:pPr>
      <w:pageBreakBefore/>
    </w:pPr>
  </w:style>
  <w:style w:type="paragraph" w:customStyle="1" w:styleId="Border">
    <w:name w:val="Border"/>
    <w:basedOn w:val="Normal"/>
    <w:qFormat/>
    <w:rsid w:val="00D432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32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2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2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32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32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32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32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32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322D"/>
    <w:rPr>
      <w:u w:val="single"/>
    </w:rPr>
  </w:style>
  <w:style w:type="character" w:customStyle="1" w:styleId="BoldandItalics">
    <w:name w:val="Bold and Italics"/>
    <w:qFormat/>
    <w:rsid w:val="00D4322D"/>
    <w:rPr>
      <w:b/>
      <w:i/>
      <w:u w:val="none"/>
    </w:rPr>
  </w:style>
  <w:style w:type="paragraph" w:styleId="BalloonText">
    <w:name w:val="Balloon Text"/>
    <w:basedOn w:val="Normal"/>
    <w:link w:val="BalloonTextChar"/>
    <w:rsid w:val="00D432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32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32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32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32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32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322D"/>
    <w:pPr>
      <w:spacing w:before="0" w:after="0"/>
    </w:pPr>
  </w:style>
  <w:style w:type="paragraph" w:customStyle="1" w:styleId="BodyTextBold">
    <w:name w:val="Body Text Bold"/>
    <w:basedOn w:val="BodyText"/>
    <w:qFormat/>
    <w:rsid w:val="00D4322D"/>
    <w:rPr>
      <w:b/>
    </w:rPr>
  </w:style>
  <w:style w:type="character" w:styleId="Hyperlink">
    <w:name w:val="Hyperlink"/>
    <w:basedOn w:val="DefaultParagraphFont"/>
    <w:uiPriority w:val="99"/>
    <w:unhideWhenUsed/>
    <w:rsid w:val="00690C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412</Words>
  <Characters>2977</Characters>
  <Application>Microsoft Office Word</Application>
  <DocSecurity>0</DocSecurity>
  <Lines>129</Lines>
  <Paragraphs>66</Paragraphs>
  <ScaleCrop>false</ScaleCrop>
  <Company>Author-it Software Corporation Ltd.</Company>
  <LinksUpToDate>false</LinksUpToDate>
  <CharactersWithSpaces>3323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NWPGEN018 Follow environmental and licensing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2022-12-07T02:07:00Z</dcterms:created>
  <dcterms:modified xsi:type="dcterms:W3CDTF">2022-12-07T02:07:00Z</dcterms:modified>
</cp:coreProperties>
</file>