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4AB" w:rsidP="009C3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NWPGEN016 Interpret and comply with regulatory requirements</w:t>
      </w:r>
      <w:r>
        <w:fldChar w:fldCharType="end"/>
      </w:r>
    </w:p>
    <w:p w:rsidR="009C34AB" w:rsidP="009C34AB">
      <w:pPr>
        <w:pStyle w:val="Version"/>
        <w:sectPr w:rsidSect="006F4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910" w:rsidP="006F4910">
      <w:pPr>
        <w:pStyle w:val="SuperHeading"/>
      </w:pPr>
      <w:r w:rsidRPr="006F4910">
        <w:t>NWPGEN016 Interpret and comply with regulatory requirements</w:t>
      </w:r>
    </w:p>
    <w:p w:rsidR="00000000" w:rsidRPr="006F4910" w:rsidP="006F4910">
      <w:pPr>
        <w:pStyle w:val="Heading1"/>
      </w:pPr>
      <w:bookmarkStart w:id="1" w:name="O_1010779"/>
      <w:bookmarkEnd w:id="1"/>
      <w:r w:rsidRPr="006F49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Release 1. This is the first release of this unit of competency in the NWP National Water Training Package.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2" w:name="O_1010780"/>
      <w:bookmarkEnd w:id="2"/>
      <w:r w:rsidRPr="006F49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This unit involves the skills and knowledge required to interpret and comply</w:t>
            </w:r>
            <w:r w:rsidRPr="006F4910">
              <w:t xml:space="preserve"> with regulatory requirements.</w:t>
            </w:r>
          </w:p>
          <w:p w:rsidR="00000000" w:rsidRPr="006F4910" w:rsidP="006F4910">
            <w:pPr>
              <w:pStyle w:val="BodyText"/>
            </w:pPr>
            <w:r w:rsidRPr="006F4910">
              <w:t>It includes researching relevant water industry regulatory requirements, implementing and communicating policies and procedures for regulatory compliance and maintaining workplace records.  It also includes consideration of s</w:t>
            </w:r>
            <w:r w:rsidRPr="006F4910">
              <w:t>hort term in situ issues and long-term planning in the water industry.</w:t>
            </w:r>
          </w:p>
          <w:p w:rsidR="00000000" w:rsidRPr="006F4910" w:rsidP="006F4910">
            <w:pPr>
              <w:pStyle w:val="BodyText"/>
            </w:pPr>
            <w:r w:rsidRPr="006F4910">
              <w:t>This unit applies to leaders responsible for interpreting and complying with regulations impacting the water industry.</w:t>
            </w:r>
          </w:p>
          <w:p w:rsidR="00000000" w:rsidRPr="006F4910" w:rsidP="006F4910">
            <w:pPr>
              <w:pStyle w:val="BodyText"/>
            </w:pPr>
            <w:r w:rsidRPr="006F4910">
              <w:t>No licensing, legislative or certification requirements apply to t</w:t>
            </w:r>
            <w:r w:rsidRPr="006F4910">
              <w:t>his unit at the time of publication.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3" w:name="O_1010781"/>
      <w:bookmarkEnd w:id="3"/>
      <w:r w:rsidRPr="006F49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Not applicable.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4" w:name="O_1010782"/>
      <w:bookmarkEnd w:id="4"/>
      <w:r w:rsidRPr="006F49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General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5" w:name="O_1010783"/>
      <w:bookmarkEnd w:id="5"/>
      <w:r w:rsidRPr="006F49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Not applicable.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6" w:name="O_1010784"/>
      <w:bookmarkEnd w:id="6"/>
      <w:r w:rsidRPr="006F49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PERFORMANCE CRITERIA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Performance criteria describe the performance needed to demonstrate achievement of the element.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rPr>
                <w:rStyle w:val="SpecialBold"/>
              </w:rPr>
              <w:t>Research relevant water industry 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Evaluate business operations to determine scope of regulatory requirements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 xml:space="preserve">Identify and review relevant legislation and regulations 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Interpret water industry legislation and regulations according to workplace procedures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Follow requirements according to workplace procedures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Identify changes, amendments and emerging issues in legislation relevant to the organisation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Identify risks, penalties and consequences of non-compliance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Identify sources of informa</w:t>
            </w:r>
            <w:r w:rsidRPr="006F4910">
              <w:t>tion for compliance with regulatory requirements and licensing for business operations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 xml:space="preserve">Identify relevant regulatory authorities when planning business operations 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Determine current and future legal requirements in the workplace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rPr>
                <w:rStyle w:val="SpecialBold"/>
              </w:rPr>
              <w:t>Implement and communicate policies and procedures for regulatory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Develop plans and documentation to support compliance with regulatory requirements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Nominate roles and responsibilities of personnel for regulatory compliance in policies</w:t>
            </w:r>
            <w:r w:rsidRPr="006F4910">
              <w:t xml:space="preserve"> and procedures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Review and communicate changed regulations and policy updates to relevant personnel to ensure compliance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Review and distribute policies and procedures for compliance with regulatory and licensing requirements according to workplace procedures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Respond in situ to ensure compliance and safety using prior knowledge and resources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 xml:space="preserve">Validate contractor </w:t>
            </w:r>
            <w:r w:rsidRPr="006F4910">
              <w:t>competence and compliance according to workplace procedures and job requirements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Maintain business and occupational licences according to regulatory requirements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 xml:space="preserve">Seek advice from legal advisors and other sources </w:t>
            </w:r>
            <w:r w:rsidRPr="006F4910">
              <w:t>according to workplace procedures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Continuously evaluate business operations for non-compliance and implement modifications according to workplace procedures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rPr>
                <w:rStyle w:val="SpecialBold"/>
              </w:rPr>
              <w:t>Maintain organisational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Mai</w:t>
            </w:r>
            <w:r w:rsidRPr="006F4910">
              <w:t xml:space="preserve">ntain record management systems to ensure compliance with regulatory requirements 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Establish stakeholder records and relevant documentation according to workplace procedures, privacy principles and contractual obligations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Implement internal auditing of record management requirements according to regulatory requirements and workplace procedures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Maintain personnel and contractor records according to workplace procedures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F4910" w:rsidP="006F4910">
            <w:pPr>
              <w:pStyle w:val="BodyText"/>
            </w:pPr>
            <w:r w:rsidRPr="006F4910">
              <w:t>Monitor current regulations and relevant d</w:t>
            </w:r>
            <w:r w:rsidRPr="006F4910">
              <w:t>ocumentation to ensure operational compliance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7" w:name="O_1010785"/>
      <w:bookmarkEnd w:id="7"/>
      <w:r w:rsidRPr="006F49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Foundation skills essential to performance are explicit in the performance criteria of this unit of competency.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8" w:name="O_1010786"/>
      <w:bookmarkEnd w:id="8"/>
      <w:r w:rsidRPr="006F49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Range is restricted to essential operating conditions and any other variables essential to the work environment.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9" w:name="O_1010787"/>
      <w:bookmarkEnd w:id="9"/>
      <w:r w:rsidRPr="006F49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This is a new unit. No equivalent unit.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10" w:name="O_1010794"/>
      <w:bookmarkEnd w:id="10"/>
      <w:r w:rsidRPr="006F4910">
        <w:t>Links</w:t>
      </w:r>
    </w:p>
    <w:p w:rsidR="00000000" w:rsidRPr="006F4910" w:rsidP="009C34AB">
      <w:pPr>
        <w:pStyle w:val="BodyText"/>
      </w:pPr>
      <w:r w:rsidRPr="006F4910">
        <w:t>Companion Volume Implementatio</w:t>
      </w:r>
      <w:r w:rsidRPr="006F4910">
        <w:t xml:space="preserve">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752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F4910" w:rsidP="009C34AB">
      <w:pPr>
        <w:pStyle w:val="BodyText"/>
        <w:sectPr w:rsidSect="006F49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4910" w:rsidP="006F4910">
      <w:pPr>
        <w:pStyle w:val="SuperHeading"/>
      </w:pPr>
      <w:r w:rsidRPr="006F4910">
        <w:t>Assessment Requirements for NWPGEN016 Interpret and comply with regulatory requirements</w:t>
      </w:r>
    </w:p>
    <w:p w:rsidR="00000000" w:rsidRPr="006F4910" w:rsidP="006F4910">
      <w:pPr>
        <w:pStyle w:val="Heading1"/>
      </w:pPr>
      <w:bookmarkStart w:id="11" w:name="O_1010789"/>
      <w:bookmarkEnd w:id="11"/>
      <w:r w:rsidRPr="006F49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Release 1. This is the first release of this unit of competency in the NWP National Water Training Package.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12" w:name="O_1010790"/>
      <w:bookmarkEnd w:id="12"/>
      <w:r w:rsidRPr="006F49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ListBullet"/>
            </w:pPr>
            <w:r w:rsidRPr="006F4910">
              <w:t>allocating roles and responsibilities to personnel</w:t>
            </w:r>
          </w:p>
          <w:p w:rsidR="00000000" w:rsidRPr="006F4910" w:rsidP="006F4910">
            <w:pPr>
              <w:pStyle w:val="ListBullet"/>
            </w:pPr>
            <w:r w:rsidRPr="006F4910">
              <w:t>determining l</w:t>
            </w:r>
            <w:r w:rsidRPr="006F4910">
              <w:t>egal requirements</w:t>
            </w:r>
          </w:p>
          <w:p w:rsidR="00000000" w:rsidRPr="006F4910" w:rsidP="006F4910">
            <w:pPr>
              <w:pStyle w:val="ListBullet"/>
            </w:pPr>
            <w:r w:rsidRPr="006F4910">
              <w:t>determining scope, interpreting and monitoring relevant legislation, regulations and industry standards</w:t>
            </w:r>
          </w:p>
          <w:p w:rsidR="00000000" w:rsidRPr="006F4910" w:rsidP="006F4910">
            <w:pPr>
              <w:pStyle w:val="ListBullet"/>
            </w:pPr>
            <w:r w:rsidRPr="006F4910">
              <w:t>ensuring consent, privacy and confidentiality of information</w:t>
            </w:r>
          </w:p>
          <w:p w:rsidR="00000000" w:rsidRPr="006F4910" w:rsidP="006F4910">
            <w:pPr>
              <w:pStyle w:val="ListBullet"/>
            </w:pPr>
            <w:r w:rsidRPr="006F4910">
              <w:t>ensuring the completion of statutory reporting</w:t>
            </w:r>
          </w:p>
          <w:p w:rsidR="00000000" w:rsidRPr="006F4910" w:rsidP="006F4910">
            <w:pPr>
              <w:pStyle w:val="ListBullet"/>
            </w:pPr>
            <w:r w:rsidRPr="006F4910">
              <w:t>explaining changes and implications of regulatory requirements to personnel</w:t>
            </w:r>
          </w:p>
          <w:p w:rsidR="00000000" w:rsidRPr="006F4910" w:rsidP="006F4910">
            <w:pPr>
              <w:pStyle w:val="ListBullet"/>
            </w:pPr>
            <w:r w:rsidRPr="006F4910">
              <w:t>identifying changes, amendments and emerging issues in legislation</w:t>
            </w:r>
          </w:p>
          <w:p w:rsidR="00000000" w:rsidRPr="006F4910" w:rsidP="006F4910">
            <w:pPr>
              <w:pStyle w:val="ListBullet"/>
            </w:pPr>
            <w:r w:rsidRPr="006F4910">
              <w:t>identifying risks, penalties and consequences for non-compliance</w:t>
            </w:r>
          </w:p>
          <w:p w:rsidR="00000000" w:rsidRPr="006F4910" w:rsidP="006F4910">
            <w:pPr>
              <w:pStyle w:val="ListBullet"/>
            </w:pPr>
            <w:r w:rsidRPr="006F4910">
              <w:t>maintaining business and occupational licenses</w:t>
            </w:r>
          </w:p>
          <w:p w:rsidR="00000000" w:rsidRPr="006F4910" w:rsidP="006F4910">
            <w:pPr>
              <w:pStyle w:val="ListBullet"/>
            </w:pPr>
            <w:r w:rsidRPr="006F4910">
              <w:t>m</w:t>
            </w:r>
            <w:r w:rsidRPr="006F4910">
              <w:t>aintaining records</w:t>
            </w:r>
          </w:p>
          <w:p w:rsidR="00000000" w:rsidRPr="006F4910" w:rsidP="006F4910">
            <w:pPr>
              <w:pStyle w:val="ListBullet"/>
            </w:pPr>
            <w:r w:rsidRPr="006F4910">
              <w:t>seeking legal advice</w:t>
            </w:r>
          </w:p>
          <w:p w:rsidR="00000000" w:rsidRPr="006F4910" w:rsidP="006F4910">
            <w:pPr>
              <w:pStyle w:val="ListBullet"/>
            </w:pPr>
            <w:r w:rsidRPr="006F4910">
              <w:t>validating contractor competence and compliance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13" w:name="O_1010791"/>
      <w:bookmarkEnd w:id="13"/>
      <w:r w:rsidRPr="006F49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10">
            <w:pPr>
              <w:pStyle w:val="BodyText"/>
              <w:rPr>
                <w:lang w:val="en-NZ"/>
              </w:rPr>
            </w:pPr>
            <w:r w:rsidRPr="006F4910">
              <w:t>Evidence required to demonstrate competence in this unit must be relevant to and satisfy all the requirements of the elements an</w:t>
            </w:r>
            <w:r w:rsidRPr="006F4910">
              <w:t>d performance criteria and includes knowledge of:</w:t>
            </w:r>
          </w:p>
        </w:tc>
      </w:tr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ListBullet"/>
            </w:pPr>
            <w:r w:rsidRPr="006F4910">
              <w:t>contractor competence and compliance</w:t>
            </w:r>
          </w:p>
          <w:p w:rsidR="00000000" w:rsidRPr="006F4910" w:rsidP="006F4910">
            <w:pPr>
              <w:pStyle w:val="ListBullet"/>
            </w:pPr>
            <w:r w:rsidRPr="006F4910">
              <w:t xml:space="preserve">non-compliance issues and risks </w:t>
            </w:r>
          </w:p>
          <w:p w:rsidR="00000000" w:rsidRPr="006F4910" w:rsidP="006F4910">
            <w:pPr>
              <w:pStyle w:val="ListBullet"/>
            </w:pPr>
            <w:r w:rsidRPr="006F4910">
              <w:t>regulatory authorities</w:t>
            </w:r>
          </w:p>
          <w:p w:rsidR="00000000" w:rsidRPr="006F4910" w:rsidP="006F4910">
            <w:pPr>
              <w:pStyle w:val="ListBullet"/>
            </w:pPr>
            <w:r w:rsidRPr="006F4910">
              <w:t>relevant legislation, regulations and industry standards</w:t>
            </w:r>
          </w:p>
          <w:p w:rsidR="00000000" w:rsidRPr="006F4910" w:rsidP="006F4910">
            <w:pPr>
              <w:pStyle w:val="ListBullet"/>
            </w:pPr>
            <w:r w:rsidRPr="006F4910">
              <w:t>relevant workplace procedures including privacy principles</w:t>
            </w:r>
          </w:p>
          <w:p w:rsidR="00000000" w:rsidRPr="006F4910" w:rsidP="006F4910">
            <w:pPr>
              <w:pStyle w:val="ListBullet"/>
            </w:pPr>
            <w:r w:rsidRPr="006F4910">
              <w:t>sources of information and advice on regulatory compliance</w:t>
            </w:r>
          </w:p>
          <w:p w:rsidR="00000000" w:rsidRPr="006F4910" w:rsidP="006F4910">
            <w:pPr>
              <w:pStyle w:val="ListBullet"/>
            </w:pPr>
            <w:r w:rsidRPr="006F4910">
              <w:t>statutory reporting requirements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14" w:name="O_1010792"/>
      <w:bookmarkEnd w:id="14"/>
      <w:r w:rsidRPr="006F49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10" w:rsidP="006F4910">
            <w:pPr>
              <w:pStyle w:val="BodyText"/>
            </w:pPr>
            <w:r w:rsidRPr="006F4910">
              <w:t>Assessors must hold credentials specified within the Standards</w:t>
            </w:r>
            <w:r w:rsidRPr="006F4910">
              <w:t xml:space="preserve"> for Registered Training Organisations current at the time of assessment. </w:t>
            </w:r>
          </w:p>
          <w:p w:rsidR="00000000" w:rsidRPr="006F4910" w:rsidP="006F4910">
            <w:pPr>
              <w:pStyle w:val="BodyText"/>
            </w:pPr>
            <w:r w:rsidRPr="006F4910">
              <w:t>Assessment must satisfy the Principles of Assessment and Rules of Evidence and all regulatory requirements included within the Standards for Regis</w:t>
            </w:r>
            <w:r w:rsidRPr="006F4910">
              <w:t>tered Training Organisations current at the time of assessment.</w:t>
            </w:r>
          </w:p>
          <w:p w:rsidR="00000000" w:rsidRPr="006F4910" w:rsidP="006F4910">
            <w:pPr>
              <w:pStyle w:val="BodyText"/>
            </w:pPr>
            <w:r w:rsidRPr="006F4910">
              <w:t>Assessment must occur in suitable workplace operational situations. Where this is not appropriate, assessment must occur in suitable simulated workplace operational situations reflecting actua</w:t>
            </w:r>
            <w:r w:rsidRPr="006F4910">
              <w:t>l workplace conditions.</w:t>
            </w:r>
          </w:p>
          <w:p w:rsidR="00000000" w:rsidRPr="006F4910" w:rsidP="006F4910">
            <w:pPr>
              <w:pStyle w:val="BodyText"/>
            </w:pPr>
            <w:r w:rsidRPr="006F491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F4910" w:rsidP="006F4910">
            <w:pPr>
              <w:pStyle w:val="BodyText"/>
            </w:pPr>
            <w:r w:rsidRPr="006F4910">
              <w:t>Resources for assessment must include access to:</w:t>
            </w:r>
          </w:p>
          <w:p w:rsidR="00000000" w:rsidRPr="006F4910" w:rsidP="006F4910">
            <w:pPr>
              <w:pStyle w:val="ListBullet"/>
            </w:pPr>
            <w:r w:rsidRPr="006F4910">
              <w:t>relevant and a</w:t>
            </w:r>
            <w:r w:rsidRPr="006F4910">
              <w:t xml:space="preserve">ppropriate materials, tools, facilities, equipment and personal protective equipment currently used in industry </w:t>
            </w:r>
          </w:p>
          <w:p w:rsidR="00000000" w:rsidRPr="006F4910" w:rsidP="006F4910">
            <w:pPr>
              <w:pStyle w:val="ListBullet"/>
            </w:pPr>
            <w:r w:rsidRPr="006F4910">
              <w:t xml:space="preserve">applicable relevant documentation including workplace procedures, industry standards, equipment specifications, regulations, codes of practice </w:t>
            </w:r>
            <w:r w:rsidRPr="006F4910">
              <w:t>and operation manuals.</w:t>
            </w:r>
          </w:p>
        </w:tc>
      </w:tr>
    </w:tbl>
    <w:p w:rsidR="00000000" w:rsidRPr="006F4910" w:rsidP="006F4910">
      <w:pPr>
        <w:pStyle w:val="NoPaddingFontSize1"/>
      </w:pPr>
    </w:p>
    <w:p w:rsidR="00000000" w:rsidRPr="006F4910" w:rsidP="006F4910">
      <w:pPr>
        <w:pStyle w:val="AllowPageBreak"/>
      </w:pPr>
    </w:p>
    <w:p w:rsidR="00000000" w:rsidRPr="006F4910" w:rsidP="006F4910">
      <w:pPr>
        <w:pStyle w:val="Heading1"/>
      </w:pPr>
      <w:bookmarkStart w:id="15" w:name="O_1010795"/>
      <w:bookmarkEnd w:id="15"/>
      <w:r w:rsidRPr="006F4910">
        <w:t>Links</w:t>
      </w:r>
    </w:p>
    <w:p w:rsidR="00000000" w:rsidRPr="006F4910" w:rsidP="009C34AB">
      <w:pPr>
        <w:pStyle w:val="BodyText"/>
      </w:pPr>
      <w:r w:rsidRPr="006F49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0752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F4910" w:rsidP="006F4910"/>
    <w:sectPr w:rsidSect="006F49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0" w:rsidRPr="009C34AB" w:rsidP="009C3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AB" w:rsidP="006F4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4AB" w:rsidP="006F4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C34AB" w:rsidP="006F49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0" w:rsidP="006F4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34AB">
      <w:t>Approved</w:t>
    </w:r>
    <w:r w:rsidR="009C34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34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34AB">
      <w:rPr>
        <w:noProof/>
      </w:rPr>
      <w:t>4</w:t>
    </w:r>
    <w:r>
      <w:rPr>
        <w:noProof/>
      </w:rPr>
      <w:fldChar w:fldCharType="end"/>
    </w:r>
  </w:p>
  <w:p w:rsidR="006F4910" w:rsidP="006F4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34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34AB">
      <w:t>BuildSkills Australia</w:t>
    </w:r>
    <w:r w:rsidR="009C34AB">
      <w:fldChar w:fldCharType="end"/>
    </w:r>
  </w:p>
  <w:p w:rsidR="006F4910" w:rsidP="006F4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910" w:rsidRPr="009C34AB" w:rsidP="009C3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4AB" w:rsidRPr="002D2AF8" w:rsidP="006F4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NWPGEN016 Interpret and comply with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34AB" w:rsidP="006F49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10" w:rsidRPr="002D2AF8" w:rsidP="006F4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34AB">
      <w:t>NWPGEN016 Interpret and comply with regulatory requirements</w:t>
    </w:r>
    <w:r w:rsidR="009C34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34AB">
      <w:rPr>
        <w:noProof/>
      </w:rPr>
      <w:t>2 March 2025</w:t>
    </w:r>
    <w:r>
      <w:fldChar w:fldCharType="end"/>
    </w:r>
  </w:p>
  <w:p w:rsidR="006F4910" w:rsidP="006F4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2CC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080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910"/>
  </w:style>
  <w:style w:type="character" w:customStyle="1" w:styleId="Heading1Char">
    <w:name w:val="Heading 1 Char"/>
    <w:basedOn w:val="DefaultParagraphFont"/>
    <w:link w:val="Heading1"/>
    <w:rsid w:val="006F4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9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910"/>
    <w:rPr>
      <w:b/>
      <w:spacing w:val="0"/>
    </w:rPr>
  </w:style>
  <w:style w:type="paragraph" w:customStyle="1" w:styleId="SuperHeading">
    <w:name w:val="SuperHeading"/>
    <w:basedOn w:val="Normal"/>
    <w:rsid w:val="006F4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4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9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910"/>
    <w:rPr>
      <w:i/>
    </w:rPr>
  </w:style>
  <w:style w:type="paragraph" w:styleId="Caption">
    <w:name w:val="caption"/>
    <w:basedOn w:val="BodyText"/>
    <w:next w:val="Normal"/>
    <w:qFormat/>
    <w:rsid w:val="006F4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910"/>
  </w:style>
  <w:style w:type="paragraph" w:styleId="TableofFigures">
    <w:name w:val="table of figures"/>
    <w:basedOn w:val="Normal"/>
    <w:next w:val="Normal"/>
    <w:semiHidden/>
    <w:rsid w:val="006F4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9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4910"/>
    <w:rPr>
      <w:rFonts w:ascii="Wingdings" w:hAnsi="Wingdings"/>
    </w:rPr>
  </w:style>
  <w:style w:type="paragraph" w:customStyle="1" w:styleId="TableHeading">
    <w:name w:val="Table Heading"/>
    <w:basedOn w:val="HeadingBase"/>
    <w:rsid w:val="006F4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910"/>
    <w:rPr>
      <w:color w:val="0033CC"/>
      <w:u w:val="none"/>
    </w:rPr>
  </w:style>
  <w:style w:type="paragraph" w:customStyle="1" w:styleId="BodyTextRight">
    <w:name w:val="Body Text Right"/>
    <w:basedOn w:val="BodyText"/>
    <w:rsid w:val="006F4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9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910"/>
    <w:rPr>
      <w:sz w:val="32"/>
    </w:rPr>
  </w:style>
  <w:style w:type="paragraph" w:customStyle="1" w:styleId="HeadingProcedure">
    <w:name w:val="Heading Procedure"/>
    <w:basedOn w:val="HeadingBase"/>
    <w:next w:val="Normal"/>
    <w:rsid w:val="006F4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910"/>
    <w:pPr>
      <w:spacing w:before="60" w:after="60"/>
    </w:pPr>
  </w:style>
  <w:style w:type="paragraph" w:styleId="ListContinue">
    <w:name w:val="List Continue"/>
    <w:basedOn w:val="List"/>
    <w:rsid w:val="006F4910"/>
    <w:pPr>
      <w:ind w:firstLine="0"/>
    </w:pPr>
  </w:style>
  <w:style w:type="paragraph" w:customStyle="1" w:styleId="ListNote">
    <w:name w:val="List Note"/>
    <w:basedOn w:val="List"/>
    <w:rsid w:val="006F4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910"/>
    <w:rPr>
      <w:rFonts w:ascii="Courier New" w:hAnsi="Courier New"/>
    </w:rPr>
  </w:style>
  <w:style w:type="paragraph" w:customStyle="1" w:styleId="NoteBullet">
    <w:name w:val="Note Bullet"/>
    <w:basedOn w:val="Note"/>
    <w:rsid w:val="006F4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9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910"/>
    <w:rPr>
      <w:b/>
      <w:smallCaps/>
    </w:rPr>
  </w:style>
  <w:style w:type="paragraph" w:customStyle="1" w:styleId="TableListNumber">
    <w:name w:val="Table List Number"/>
    <w:basedOn w:val="ListNumber"/>
    <w:rsid w:val="006F4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910"/>
    <w:pPr>
      <w:numPr>
        <w:numId w:val="8"/>
      </w:numPr>
    </w:pPr>
  </w:style>
  <w:style w:type="paragraph" w:customStyle="1" w:styleId="ListAlpha2">
    <w:name w:val="List Alpha 2"/>
    <w:basedOn w:val="List2"/>
    <w:rsid w:val="006F4910"/>
    <w:pPr>
      <w:numPr>
        <w:numId w:val="7"/>
      </w:numPr>
    </w:pPr>
  </w:style>
  <w:style w:type="paragraph" w:styleId="List2">
    <w:name w:val="List 2"/>
    <w:basedOn w:val="BodyText"/>
    <w:rsid w:val="006F4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9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9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910"/>
    <w:pPr>
      <w:numPr>
        <w:numId w:val="3"/>
      </w:numPr>
    </w:pPr>
  </w:style>
  <w:style w:type="paragraph" w:styleId="ListContinue2">
    <w:name w:val="List Continue 2"/>
    <w:basedOn w:val="List2"/>
    <w:rsid w:val="006F4910"/>
    <w:pPr>
      <w:ind w:firstLine="0"/>
    </w:pPr>
  </w:style>
  <w:style w:type="paragraph" w:styleId="ListContinue3">
    <w:name w:val="List Continue 3"/>
    <w:basedOn w:val="List3"/>
    <w:rsid w:val="006F4910"/>
    <w:pPr>
      <w:ind w:left="1021" w:firstLine="0"/>
    </w:pPr>
  </w:style>
  <w:style w:type="paragraph" w:styleId="ListContinue4">
    <w:name w:val="List Continue 4"/>
    <w:basedOn w:val="List4"/>
    <w:rsid w:val="006F4910"/>
    <w:pPr>
      <w:ind w:firstLine="0"/>
    </w:pPr>
  </w:style>
  <w:style w:type="paragraph" w:styleId="ListContinue5">
    <w:name w:val="List Continue 5"/>
    <w:basedOn w:val="List5"/>
    <w:rsid w:val="006F4910"/>
    <w:pPr>
      <w:ind w:firstLine="0"/>
    </w:pPr>
  </w:style>
  <w:style w:type="paragraph" w:styleId="ListNumber3">
    <w:name w:val="List Number 3"/>
    <w:basedOn w:val="List3"/>
    <w:rsid w:val="006F4910"/>
    <w:pPr>
      <w:numPr>
        <w:numId w:val="4"/>
      </w:numPr>
    </w:pPr>
  </w:style>
  <w:style w:type="paragraph" w:styleId="ListNumber4">
    <w:name w:val="List Number 4"/>
    <w:basedOn w:val="List4"/>
    <w:rsid w:val="006F4910"/>
    <w:pPr>
      <w:numPr>
        <w:numId w:val="5"/>
      </w:numPr>
    </w:pPr>
  </w:style>
  <w:style w:type="paragraph" w:styleId="ListNumber5">
    <w:name w:val="List Number 5"/>
    <w:basedOn w:val="List5"/>
    <w:rsid w:val="006F4910"/>
    <w:pPr>
      <w:numPr>
        <w:numId w:val="6"/>
      </w:numPr>
    </w:pPr>
  </w:style>
  <w:style w:type="paragraph" w:styleId="BlockText">
    <w:name w:val="Block Text"/>
    <w:basedOn w:val="Normal"/>
    <w:rsid w:val="006F4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910"/>
    <w:rPr>
      <w:sz w:val="16"/>
      <w:vertAlign w:val="superscript"/>
    </w:rPr>
  </w:style>
  <w:style w:type="character" w:customStyle="1" w:styleId="Symbols">
    <w:name w:val="Symbols"/>
    <w:basedOn w:val="DefaultParagraphFont"/>
    <w:rsid w:val="006F4910"/>
    <w:rPr>
      <w:rFonts w:ascii="Symbol" w:hAnsi="Symbol"/>
    </w:rPr>
  </w:style>
  <w:style w:type="character" w:customStyle="1" w:styleId="MenuOptions">
    <w:name w:val="Menu Options"/>
    <w:basedOn w:val="DefaultParagraphFont"/>
    <w:rsid w:val="006F4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910"/>
    <w:rPr>
      <w:b/>
    </w:rPr>
  </w:style>
  <w:style w:type="character" w:customStyle="1" w:styleId="Underlined">
    <w:name w:val="Underlined"/>
    <w:basedOn w:val="DefaultParagraphFont"/>
    <w:rsid w:val="006F4910"/>
    <w:rPr>
      <w:u w:val="single"/>
    </w:rPr>
  </w:style>
  <w:style w:type="paragraph" w:customStyle="1" w:styleId="TableBodyTextRight">
    <w:name w:val="Table Body Text Right"/>
    <w:basedOn w:val="TableBodyText"/>
    <w:rsid w:val="006F4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910"/>
    <w:rPr>
      <w:sz w:val="18"/>
    </w:rPr>
  </w:style>
  <w:style w:type="paragraph" w:customStyle="1" w:styleId="BodySmallRight">
    <w:name w:val="Body Small Right"/>
    <w:basedOn w:val="BodyTextRight"/>
    <w:rsid w:val="006F4910"/>
    <w:rPr>
      <w:sz w:val="18"/>
      <w:szCs w:val="18"/>
    </w:rPr>
  </w:style>
  <w:style w:type="paragraph" w:customStyle="1" w:styleId="MarginEdition">
    <w:name w:val="Margin Edition"/>
    <w:basedOn w:val="MarginNote"/>
    <w:rsid w:val="006F4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910"/>
    <w:rPr>
      <w:sz w:val="2"/>
      <w:szCs w:val="2"/>
    </w:rPr>
  </w:style>
  <w:style w:type="character" w:customStyle="1" w:styleId="Small">
    <w:name w:val="Small"/>
    <w:basedOn w:val="DefaultParagraphFont"/>
    <w:rsid w:val="006F4910"/>
    <w:rPr>
      <w:sz w:val="16"/>
    </w:rPr>
  </w:style>
  <w:style w:type="paragraph" w:customStyle="1" w:styleId="WideTable">
    <w:name w:val="Wide Table"/>
    <w:basedOn w:val="Normal"/>
    <w:rsid w:val="006F4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910"/>
  </w:style>
  <w:style w:type="paragraph" w:styleId="Quote">
    <w:name w:val="Quote"/>
    <w:basedOn w:val="Heading1"/>
    <w:link w:val="QuoteChar"/>
    <w:qFormat/>
    <w:rsid w:val="006F4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910"/>
    <w:pPr>
      <w:pageBreakBefore/>
    </w:pPr>
  </w:style>
  <w:style w:type="paragraph" w:customStyle="1" w:styleId="Border">
    <w:name w:val="Border"/>
    <w:basedOn w:val="Normal"/>
    <w:qFormat/>
    <w:rsid w:val="006F4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910"/>
    <w:rPr>
      <w:u w:val="single"/>
    </w:rPr>
  </w:style>
  <w:style w:type="character" w:customStyle="1" w:styleId="BoldandItalics">
    <w:name w:val="Bold and Italics"/>
    <w:qFormat/>
    <w:rsid w:val="006F4910"/>
    <w:rPr>
      <w:b/>
      <w:i/>
      <w:u w:val="none"/>
    </w:rPr>
  </w:style>
  <w:style w:type="paragraph" w:styleId="BalloonText">
    <w:name w:val="Balloon Text"/>
    <w:basedOn w:val="Normal"/>
    <w:link w:val="BalloonTextChar"/>
    <w:rsid w:val="006F4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910"/>
    <w:pPr>
      <w:spacing w:before="0" w:after="0"/>
    </w:pPr>
  </w:style>
  <w:style w:type="paragraph" w:customStyle="1" w:styleId="BodyTextBold">
    <w:name w:val="Body Text Bold"/>
    <w:basedOn w:val="BodyText"/>
    <w:qFormat/>
    <w:rsid w:val="006F4910"/>
    <w:rPr>
      <w:b/>
    </w:rPr>
  </w:style>
  <w:style w:type="character" w:styleId="Hyperlink">
    <w:name w:val="Hyperlink"/>
    <w:basedOn w:val="DefaultParagraphFont"/>
    <w:uiPriority w:val="99"/>
    <w:unhideWhenUsed/>
    <w:rsid w:val="009C3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6310</Characters>
  <Application>Microsoft Office Word</Application>
  <DocSecurity>0</DocSecurity>
  <Lines>262</Lines>
  <Paragraphs>138</Paragraphs>
  <ScaleCrop>false</ScaleCrop>
  <Company>Author-it Software Corporation Ltd.</Company>
  <LinksUpToDate>false</LinksUpToDate>
  <CharactersWithSpaces>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NWPGEN016 Interpret and comply with regulatory requirements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