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A9D" w:rsidP="00801A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NWPCAD021 Coordinate and monitor bulkwater system operations</w:t>
      </w:r>
      <w:r>
        <w:fldChar w:fldCharType="end"/>
      </w:r>
    </w:p>
    <w:p w:rsidR="00801A9D" w:rsidP="00801A9D">
      <w:pPr>
        <w:pStyle w:val="Version"/>
        <w:sectPr w:rsidSect="00093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B97" w:rsidP="00093B97">
      <w:pPr>
        <w:pStyle w:val="SuperHeading"/>
      </w:pPr>
      <w:r w:rsidRPr="00093B97">
        <w:t>NWPCAD021 Coordinate and monitor bulkwater system operations</w:t>
      </w:r>
    </w:p>
    <w:p w:rsidR="00000000" w:rsidRPr="00093B97" w:rsidP="00093B97">
      <w:pPr>
        <w:pStyle w:val="Heading1"/>
      </w:pPr>
      <w:bookmarkStart w:id="1" w:name="O_1122266"/>
      <w:bookmarkEnd w:id="1"/>
      <w:r w:rsidRPr="00093B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t>Release 1. This is the first release of this unit of competency in the NWP National Water Training Package.</w:t>
            </w:r>
          </w:p>
        </w:tc>
      </w:tr>
    </w:tbl>
    <w:p w:rsidR="00801A9D" w:rsidP="00093B97">
      <w:pPr>
        <w:pStyle w:val="NoPaddingFontSize1"/>
      </w:pPr>
    </w:p>
    <w:p w:rsidR="00801A9D" w:rsidP="00093B97">
      <w:pPr>
        <w:pStyle w:val="NoPaddingFontSize1"/>
      </w:pPr>
    </w:p>
    <w:p w:rsidR="00000000" w:rsidRPr="00093B97" w:rsidP="00093B97">
      <w:pPr>
        <w:pStyle w:val="Heading1"/>
      </w:pPr>
      <w:bookmarkStart w:id="2" w:name="O_1122267"/>
      <w:bookmarkEnd w:id="2"/>
      <w:r w:rsidRPr="00093B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t>This unit involves the skills and knowledge required to coordinate and moni</w:t>
            </w:r>
            <w:r w:rsidRPr="00093B97">
              <w:t>tor bulkwater system operations.</w:t>
            </w:r>
          </w:p>
          <w:p w:rsidR="00000000" w:rsidRPr="00093B97" w:rsidP="00093B97">
            <w:pPr>
              <w:pStyle w:val="BodyText"/>
            </w:pPr>
            <w:r w:rsidRPr="00093B97">
              <w:t>It includes monitoring and coordinating the operation of bulkwater systems, measuring and reporting on system performance and process quality control.</w:t>
            </w:r>
          </w:p>
          <w:p w:rsidR="00000000" w:rsidRPr="00093B97" w:rsidP="00093B97">
            <w:pPr>
              <w:pStyle w:val="BodyText"/>
            </w:pPr>
            <w:r w:rsidRPr="00093B97">
              <w:t>This unit applies to workers responsible for ensuring that bulkwater sys</w:t>
            </w:r>
            <w:r w:rsidRPr="00093B97">
              <w:t>tem operations are coordinated and monitored to ensure compliance with organisational and statutory requirements. Those undertaking this unit would work autonomously, usually with supervisory responsibilities, while performing complex tasks in a range of c</w:t>
            </w:r>
            <w:r w:rsidRPr="00093B97">
              <w:t>ontexts.</w:t>
            </w:r>
          </w:p>
          <w:p w:rsidR="00000000" w:rsidRPr="00093B97" w:rsidP="00093B97">
            <w:pPr>
              <w:pStyle w:val="BodyText"/>
            </w:pPr>
            <w:r w:rsidRPr="00093B97">
              <w:t>No licensing, legislative or certification requirements apply to this unit at the time of publication.</w:t>
            </w:r>
          </w:p>
        </w:tc>
      </w:tr>
    </w:tbl>
    <w:p w:rsidR="00000000" w:rsidRPr="00093B97" w:rsidP="00093B97">
      <w:pPr>
        <w:pStyle w:val="NoPaddingFontSize1"/>
      </w:pPr>
    </w:p>
    <w:p w:rsidR="00000000" w:rsidRPr="00093B97" w:rsidP="00093B97">
      <w:pPr>
        <w:pStyle w:val="AllowPageBreak"/>
      </w:pPr>
    </w:p>
    <w:p w:rsidR="00000000" w:rsidRPr="00093B97" w:rsidP="00093B97">
      <w:pPr>
        <w:pStyle w:val="Heading1"/>
      </w:pPr>
      <w:bookmarkStart w:id="3" w:name="O_1122268"/>
      <w:bookmarkEnd w:id="3"/>
      <w:r w:rsidRPr="00093B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t>Not applicable.</w:t>
            </w:r>
          </w:p>
        </w:tc>
      </w:tr>
    </w:tbl>
    <w:p w:rsidR="00801A9D" w:rsidP="00093B97">
      <w:pPr>
        <w:pStyle w:val="NoPaddingFontSize1"/>
      </w:pPr>
    </w:p>
    <w:p w:rsidR="00801A9D" w:rsidP="00093B97">
      <w:pPr>
        <w:pStyle w:val="NoPaddingFontSize1"/>
      </w:pPr>
    </w:p>
    <w:p w:rsidR="00000000" w:rsidRPr="00093B97" w:rsidP="00093B97">
      <w:pPr>
        <w:pStyle w:val="Heading1"/>
      </w:pPr>
      <w:bookmarkStart w:id="4" w:name="O_1122269"/>
      <w:bookmarkEnd w:id="4"/>
      <w:r w:rsidRPr="00093B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t xml:space="preserve">Catchment and Dams </w:t>
            </w:r>
          </w:p>
        </w:tc>
      </w:tr>
    </w:tbl>
    <w:p w:rsidR="00801A9D" w:rsidP="00093B97">
      <w:pPr>
        <w:pStyle w:val="NoPaddingFontSize1"/>
      </w:pPr>
    </w:p>
    <w:p w:rsidR="00801A9D" w:rsidP="00093B97">
      <w:pPr>
        <w:pStyle w:val="NoPaddingFontSize1"/>
      </w:pPr>
    </w:p>
    <w:p w:rsidR="00000000" w:rsidRPr="00093B97" w:rsidP="00093B97">
      <w:pPr>
        <w:pStyle w:val="Heading1"/>
      </w:pPr>
      <w:bookmarkStart w:id="5" w:name="O_1122270"/>
      <w:bookmarkEnd w:id="5"/>
      <w:r w:rsidRPr="00093B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t>Not applicable.</w:t>
            </w:r>
          </w:p>
        </w:tc>
      </w:tr>
    </w:tbl>
    <w:p w:rsidR="00801A9D" w:rsidP="00093B97">
      <w:pPr>
        <w:pStyle w:val="NoPaddingFontSize1"/>
      </w:pPr>
    </w:p>
    <w:p w:rsidR="00801A9D" w:rsidP="00093B97">
      <w:pPr>
        <w:pStyle w:val="NoPaddingFontSize1"/>
      </w:pPr>
    </w:p>
    <w:p w:rsidR="00000000" w:rsidRPr="00093B97" w:rsidP="00093B97">
      <w:pPr>
        <w:pStyle w:val="Heading1"/>
      </w:pPr>
      <w:bookmarkStart w:id="6" w:name="O_1122271"/>
      <w:bookmarkEnd w:id="6"/>
      <w:r w:rsidRPr="00093B9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PERFORMANCE CRITERIA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Performance criteria describe the performance needed to demonstrate achievement of the element.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rPr>
                <w:rStyle w:val="SpecialBold"/>
              </w:rPr>
              <w:t xml:space="preserve">Confirm performance </w:t>
            </w:r>
            <w:r w:rsidRPr="00093B97">
              <w:rPr>
                <w:rStyle w:val="SpecialBold"/>
              </w:rPr>
              <w:t>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Identify water flow, quality and quantity requirements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Identify surveillance and stakeholder requirements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 xml:space="preserve">Identify operational performance measures 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Identify environmental factors impacting on water flows and quality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rPr>
                <w:rStyle w:val="SpecialBold"/>
              </w:rPr>
              <w:t>Monitor and coordinate asset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Identify hazards, assess risks and implement control measures according to workplace procedures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Select, fit and use equipment, includ</w:t>
            </w:r>
            <w:r w:rsidRPr="00093B97">
              <w:t>ing personal protective equipment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Apply monitoring and testing programs according to workplace procedures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Monitor assets to ensure performance meets specifications in management plan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Develop and schedule maintenance programs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Monitor water flows and quality according to stakeholder needs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Coordinate processes to meet plan requirements and targets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Optimise system performance according to workplace procedures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Analyse, record and report coordination and monitoring data to relevant stakeholders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t>Identify and report current and potential problems</w:t>
            </w:r>
          </w:p>
        </w:tc>
      </w:tr>
    </w:tbl>
    <w:p w:rsidR="00801A9D" w:rsidP="00093B97">
      <w:pPr>
        <w:pStyle w:val="NoPaddingFontSize1"/>
      </w:pPr>
    </w:p>
    <w:p w:rsidR="00801A9D" w:rsidP="00093B97">
      <w:pPr>
        <w:pStyle w:val="NoPaddingFontSize1"/>
      </w:pPr>
    </w:p>
    <w:p w:rsidR="00000000" w:rsidRPr="00093B97" w:rsidP="00093B97">
      <w:pPr>
        <w:pStyle w:val="Heading1"/>
      </w:pPr>
      <w:bookmarkStart w:id="7" w:name="O_1122272"/>
      <w:bookmarkEnd w:id="7"/>
      <w:r w:rsidRPr="00093B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t>Foundation skills essential to performance are explicit in the performance criteria of this unit of competency.</w:t>
            </w:r>
          </w:p>
        </w:tc>
      </w:tr>
    </w:tbl>
    <w:p w:rsidR="00801A9D" w:rsidP="00093B97">
      <w:pPr>
        <w:pStyle w:val="NoPaddingFontSize1"/>
      </w:pPr>
    </w:p>
    <w:p w:rsidR="00801A9D" w:rsidP="00093B97">
      <w:pPr>
        <w:pStyle w:val="NoPaddingFontSize1"/>
      </w:pPr>
    </w:p>
    <w:p w:rsidR="00000000" w:rsidRPr="00093B97" w:rsidP="00093B97">
      <w:pPr>
        <w:pStyle w:val="Heading1"/>
      </w:pPr>
      <w:bookmarkStart w:id="8" w:name="O_1122273"/>
      <w:bookmarkEnd w:id="8"/>
      <w:r w:rsidRPr="00093B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t>Range is restricted to essential operating conditions and any other variables essential to the work en</w:t>
            </w:r>
            <w:r w:rsidRPr="00093B97">
              <w:t>vironment.</w:t>
            </w:r>
          </w:p>
          <w:p w:rsidR="00000000" w:rsidRPr="00093B97" w:rsidP="00093B97">
            <w:pPr>
              <w:pStyle w:val="BodyText"/>
            </w:pPr>
            <w:r w:rsidRPr="00093B97">
              <w:t>Non-essential conditions may be found in the Companion Volume Implementation Guide.</w:t>
            </w:r>
          </w:p>
        </w:tc>
      </w:tr>
    </w:tbl>
    <w:p w:rsidR="00801A9D" w:rsidP="00093B97">
      <w:pPr>
        <w:pStyle w:val="NoPaddingFontSize1"/>
      </w:pPr>
    </w:p>
    <w:p w:rsidR="00801A9D" w:rsidP="00093B97">
      <w:pPr>
        <w:pStyle w:val="NoPaddingFontSize1"/>
      </w:pPr>
    </w:p>
    <w:p w:rsidR="00000000" w:rsidRPr="00093B97" w:rsidP="00093B97">
      <w:pPr>
        <w:pStyle w:val="Heading1"/>
      </w:pPr>
      <w:bookmarkStart w:id="9" w:name="O_1122274"/>
      <w:bookmarkEnd w:id="9"/>
      <w:r w:rsidRPr="00093B9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t>This unit replaces and is equivalent to NWPSOU041 Coordinate and monitor bulkwater system operations.</w:t>
            </w:r>
          </w:p>
        </w:tc>
      </w:tr>
    </w:tbl>
    <w:p w:rsidR="00801A9D" w:rsidP="00093B97">
      <w:pPr>
        <w:pStyle w:val="NoPaddingFontSize1"/>
      </w:pPr>
    </w:p>
    <w:p w:rsidR="00801A9D" w:rsidP="00093B97">
      <w:pPr>
        <w:pStyle w:val="NoPaddingFontSize1"/>
      </w:pPr>
    </w:p>
    <w:p w:rsidR="00000000" w:rsidRPr="00093B97" w:rsidP="00093B97">
      <w:pPr>
        <w:pStyle w:val="Heading1"/>
      </w:pPr>
      <w:bookmarkStart w:id="10" w:name="O_1122281"/>
      <w:bookmarkEnd w:id="10"/>
      <w:r w:rsidRPr="00093B97">
        <w:t>Links</w:t>
      </w:r>
    </w:p>
    <w:p w:rsidR="00000000" w:rsidRPr="00093B97" w:rsidP="00801A9D">
      <w:pPr>
        <w:pStyle w:val="BodyText"/>
      </w:pPr>
      <w:r w:rsidRPr="00093B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C66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93B97" w:rsidP="00801A9D">
      <w:pPr>
        <w:pStyle w:val="BodyText"/>
        <w:sectPr w:rsidSect="00093B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3B97" w:rsidP="00093B97">
      <w:pPr>
        <w:pStyle w:val="SuperHeading"/>
      </w:pPr>
      <w:r w:rsidRPr="00093B97">
        <w:t xml:space="preserve">Assessment </w:t>
      </w:r>
      <w:r w:rsidRPr="00093B97">
        <w:t>Requirements for NWPCAD021 Coordinate and monitor bulkwater system operations</w:t>
      </w:r>
    </w:p>
    <w:p w:rsidR="00000000" w:rsidRPr="00093B97" w:rsidP="00093B97">
      <w:pPr>
        <w:pStyle w:val="Heading1"/>
      </w:pPr>
      <w:bookmarkStart w:id="11" w:name="O_1122276"/>
      <w:bookmarkEnd w:id="11"/>
      <w:r w:rsidRPr="00093B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t>Release 1. This is the first release of this unit of competency in the NWP National Water Training Package.</w:t>
            </w:r>
          </w:p>
        </w:tc>
      </w:tr>
    </w:tbl>
    <w:p w:rsidR="00801A9D" w:rsidP="00093B97">
      <w:pPr>
        <w:pStyle w:val="NoPaddingFontSize1"/>
      </w:pPr>
    </w:p>
    <w:p w:rsidR="00801A9D" w:rsidP="00093B97">
      <w:pPr>
        <w:pStyle w:val="NoPaddingFontSize1"/>
      </w:pPr>
    </w:p>
    <w:p w:rsidR="00000000" w:rsidRPr="00093B97" w:rsidP="00093B97">
      <w:pPr>
        <w:pStyle w:val="Heading1"/>
      </w:pPr>
      <w:bookmarkStart w:id="12" w:name="O_1122277"/>
      <w:bookmarkEnd w:id="12"/>
      <w:r w:rsidRPr="00093B97">
        <w:t>Performan</w:t>
      </w:r>
      <w:r w:rsidRPr="00093B97">
        <w:t>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ListBullet"/>
            </w:pPr>
            <w:r w:rsidRPr="00093B97">
              <w:t>collecting and recording data</w:t>
            </w:r>
          </w:p>
          <w:p w:rsidR="00000000" w:rsidRPr="00093B97" w:rsidP="00093B97">
            <w:pPr>
              <w:pStyle w:val="ListBullet"/>
            </w:pPr>
            <w:r w:rsidRPr="00093B97">
              <w:t>coordinating and optimising system performance</w:t>
            </w:r>
          </w:p>
          <w:p w:rsidR="00000000" w:rsidRPr="00093B97" w:rsidP="00093B97">
            <w:pPr>
              <w:pStyle w:val="ListBullet"/>
            </w:pPr>
            <w:r w:rsidRPr="00093B97">
              <w:t>developing and scheduling maintenance plans</w:t>
            </w:r>
          </w:p>
          <w:p w:rsidR="00000000" w:rsidRPr="00093B97" w:rsidP="00093B97">
            <w:pPr>
              <w:pStyle w:val="ListBullet"/>
            </w:pPr>
            <w:r w:rsidRPr="00093B97">
              <w:t>identifying and investigating operational problems</w:t>
            </w:r>
          </w:p>
          <w:p w:rsidR="00000000" w:rsidRPr="00093B97" w:rsidP="00093B97">
            <w:pPr>
              <w:pStyle w:val="ListBullet"/>
            </w:pPr>
            <w:r w:rsidRPr="00093B97">
              <w:t>identifying system performance measures, stakeholder requirements and environmental factors that may influence per</w:t>
            </w:r>
            <w:r w:rsidRPr="00093B97">
              <w:t>formance</w:t>
            </w:r>
          </w:p>
          <w:p w:rsidR="00000000" w:rsidRPr="00093B97" w:rsidP="00093B97">
            <w:pPr>
              <w:pStyle w:val="ListBullet"/>
            </w:pPr>
            <w:r w:rsidRPr="00093B97">
              <w:t>implementing monitoring and testing programs</w:t>
            </w:r>
          </w:p>
          <w:p w:rsidR="00000000" w:rsidRPr="00093B97" w:rsidP="00093B97">
            <w:pPr>
              <w:pStyle w:val="ListBullet"/>
            </w:pPr>
            <w:r w:rsidRPr="00093B97">
              <w:t>interpreting policies, procedures and standards</w:t>
            </w:r>
          </w:p>
          <w:p w:rsidR="00000000" w:rsidRPr="00093B97" w:rsidP="00093B97">
            <w:pPr>
              <w:pStyle w:val="ListBullet"/>
            </w:pPr>
            <w:r w:rsidRPr="00093B97">
              <w:t>monitoring and coordinating the operation of bulkwater systems</w:t>
            </w:r>
          </w:p>
          <w:p w:rsidR="00000000" w:rsidRPr="00093B97" w:rsidP="00093B97">
            <w:pPr>
              <w:pStyle w:val="ListBullet"/>
            </w:pPr>
            <w:r w:rsidRPr="00093B97">
              <w:t>producing required reports</w:t>
            </w:r>
          </w:p>
          <w:p w:rsidR="00000000" w:rsidRPr="00093B97" w:rsidP="00093B97">
            <w:pPr>
              <w:pStyle w:val="ListBullet"/>
            </w:pPr>
            <w:r w:rsidRPr="00093B97">
              <w:t>using safety equipment and personal protective equipment</w:t>
            </w:r>
          </w:p>
        </w:tc>
      </w:tr>
    </w:tbl>
    <w:p w:rsidR="00801A9D" w:rsidP="00093B97">
      <w:pPr>
        <w:pStyle w:val="NoPaddingFontSize1"/>
      </w:pPr>
    </w:p>
    <w:p w:rsidR="00801A9D" w:rsidP="00093B97">
      <w:pPr>
        <w:pStyle w:val="NoPaddingFontSize1"/>
      </w:pPr>
    </w:p>
    <w:p w:rsidR="00000000" w:rsidRPr="00093B97" w:rsidP="00093B97">
      <w:pPr>
        <w:pStyle w:val="Heading1"/>
      </w:pPr>
      <w:bookmarkStart w:id="13" w:name="O_1122278"/>
      <w:bookmarkEnd w:id="13"/>
      <w:r w:rsidRPr="00093B9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97">
            <w:pPr>
              <w:pStyle w:val="BodyText"/>
              <w:rPr>
                <w:lang w:val="en-NZ"/>
              </w:rPr>
            </w:pPr>
            <w:r w:rsidRPr="00093B97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ListBullet"/>
            </w:pPr>
            <w:r w:rsidRPr="00093B97">
              <w:t>chemical use</w:t>
            </w:r>
          </w:p>
          <w:p w:rsidR="00000000" w:rsidRPr="00093B97" w:rsidP="00093B97">
            <w:pPr>
              <w:pStyle w:val="ListBullet"/>
            </w:pPr>
            <w:r w:rsidRPr="00093B97">
              <w:t>control systems</w:t>
            </w:r>
          </w:p>
          <w:p w:rsidR="00000000" w:rsidRPr="00093B97" w:rsidP="00093B97">
            <w:pPr>
              <w:pStyle w:val="ListBullet"/>
            </w:pPr>
            <w:r w:rsidRPr="00093B97">
              <w:t>coordination processes</w:t>
            </w:r>
          </w:p>
          <w:p w:rsidR="00000000" w:rsidRPr="00093B97" w:rsidP="00093B97">
            <w:pPr>
              <w:pStyle w:val="ListBullet"/>
            </w:pPr>
            <w:r w:rsidRPr="00093B97">
              <w:t>effects of weather and conditions on operation of supply networks</w:t>
            </w:r>
          </w:p>
          <w:p w:rsidR="00000000" w:rsidRPr="00093B97" w:rsidP="00093B97">
            <w:pPr>
              <w:pStyle w:val="ListBullet"/>
            </w:pPr>
            <w:r w:rsidRPr="00093B97">
              <w:t>environmental aspects of bulkwater systems</w:t>
            </w:r>
          </w:p>
          <w:p w:rsidR="00000000" w:rsidRPr="00093B97" w:rsidP="00093B97">
            <w:pPr>
              <w:pStyle w:val="ListBullet"/>
            </w:pPr>
            <w:r w:rsidRPr="00093B97">
              <w:t>equipment operation, capacity and limitations</w:t>
            </w:r>
          </w:p>
          <w:p w:rsidR="00000000" w:rsidRPr="00093B97" w:rsidP="00093B97">
            <w:pPr>
              <w:pStyle w:val="ListBullet"/>
            </w:pPr>
            <w:r w:rsidRPr="00093B97">
              <w:t>monitoring and testing requirements</w:t>
            </w:r>
          </w:p>
          <w:p w:rsidR="00000000" w:rsidRPr="00093B97" w:rsidP="00093B97">
            <w:pPr>
              <w:pStyle w:val="ListBullet"/>
            </w:pPr>
            <w:r w:rsidRPr="00093B97">
              <w:t>pumping and valving systems</w:t>
            </w:r>
          </w:p>
          <w:p w:rsidR="00000000" w:rsidRPr="00093B97" w:rsidP="00093B97">
            <w:pPr>
              <w:pStyle w:val="ListBullet"/>
            </w:pPr>
            <w:r w:rsidRPr="00093B97">
              <w:t>relevant legis</w:t>
            </w:r>
            <w:r w:rsidRPr="00093B97">
              <w:t>lation, policies and procedures</w:t>
            </w:r>
          </w:p>
          <w:p w:rsidR="00000000" w:rsidRPr="00093B97" w:rsidP="00093B97">
            <w:pPr>
              <w:pStyle w:val="ListBullet"/>
            </w:pPr>
            <w:r w:rsidRPr="00093B97">
              <w:t>risk factors and potential hazards involved with water pressures and flows</w:t>
            </w:r>
          </w:p>
          <w:p w:rsidR="00000000" w:rsidRPr="00093B97" w:rsidP="00093B97">
            <w:pPr>
              <w:pStyle w:val="ListBullet"/>
            </w:pPr>
            <w:r w:rsidRPr="00093B97">
              <w:t>system hydraulics</w:t>
            </w:r>
          </w:p>
          <w:p w:rsidR="00000000" w:rsidRPr="00093B97" w:rsidP="00093B97">
            <w:pPr>
              <w:pStyle w:val="ListBullet"/>
            </w:pPr>
            <w:r w:rsidRPr="00093B97">
              <w:t>system layout processes</w:t>
            </w:r>
          </w:p>
          <w:p w:rsidR="00000000" w:rsidRPr="00093B97" w:rsidP="00093B97">
            <w:pPr>
              <w:pStyle w:val="ListBullet"/>
            </w:pPr>
            <w:r w:rsidRPr="00093B97">
              <w:t>workplace reporting requirements</w:t>
            </w:r>
          </w:p>
        </w:tc>
      </w:tr>
    </w:tbl>
    <w:p w:rsidR="00801A9D" w:rsidP="00093B97">
      <w:pPr>
        <w:pStyle w:val="NoPaddingFontSize1"/>
      </w:pPr>
    </w:p>
    <w:p w:rsidR="00801A9D" w:rsidP="00093B97">
      <w:pPr>
        <w:pStyle w:val="NoPaddingFontSize1"/>
      </w:pPr>
    </w:p>
    <w:p w:rsidR="00000000" w:rsidRPr="00093B97" w:rsidP="00093B97">
      <w:pPr>
        <w:pStyle w:val="Heading1"/>
      </w:pPr>
      <w:bookmarkStart w:id="14" w:name="O_1122279"/>
      <w:bookmarkEnd w:id="14"/>
      <w:r w:rsidRPr="00093B9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97" w:rsidP="00093B97">
            <w:pPr>
              <w:pStyle w:val="BodyText"/>
            </w:pPr>
            <w:r w:rsidRPr="00093B97">
              <w:t xml:space="preserve">Assessors must hold credentials specified within the Standards for Registered Training Organisations current at the time of assessment. </w:t>
            </w:r>
          </w:p>
          <w:p w:rsidR="00000000" w:rsidRPr="00093B97" w:rsidP="00093B97">
            <w:pPr>
              <w:pStyle w:val="BodyText"/>
            </w:pPr>
            <w:r w:rsidRPr="00093B97">
              <w:t>Assessment must satisfy the Principles of Assessment and Rules of Evidence and all regulatory requirements included wit</w:t>
            </w:r>
            <w:r w:rsidRPr="00093B97">
              <w:t>hin the Standards for Registered Training Organisations current at the time of assessment.</w:t>
            </w:r>
          </w:p>
          <w:p w:rsidR="00000000" w:rsidRPr="00093B97" w:rsidP="00093B97">
            <w:pPr>
              <w:pStyle w:val="BodyText"/>
            </w:pPr>
            <w:r w:rsidRPr="00093B97">
              <w:t>Assessment must occur in workplace operational situations where it is appropriate to do so; where this is not appropriate, assessment must occur in simulated workpla</w:t>
            </w:r>
            <w:r w:rsidRPr="00093B97">
              <w:t>ce operational situations that replicate workplace conditions.</w:t>
            </w:r>
          </w:p>
          <w:p w:rsidR="00000000" w:rsidRPr="00093B97" w:rsidP="00093B97">
            <w:pPr>
              <w:pStyle w:val="BodyText"/>
            </w:pPr>
            <w:r w:rsidRPr="00093B9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93B97" w:rsidP="00093B97">
            <w:pPr>
              <w:pStyle w:val="BodyText"/>
            </w:pPr>
            <w:r w:rsidRPr="00093B97">
              <w:t xml:space="preserve">Resources for assessment </w:t>
            </w:r>
            <w:r w:rsidRPr="00093B97">
              <w:t>must include access to:</w:t>
            </w:r>
          </w:p>
          <w:p w:rsidR="00000000" w:rsidRPr="00093B97" w:rsidP="00093B97">
            <w:pPr>
              <w:pStyle w:val="ListBullet"/>
            </w:pPr>
            <w:r w:rsidRPr="00093B97">
              <w:t>relevant and appropriate materials, tools, equipment and personal protective equipment currently used in industry</w:t>
            </w:r>
          </w:p>
          <w:p w:rsidR="00000000" w:rsidRPr="00093B97" w:rsidP="00093B97">
            <w:pPr>
              <w:pStyle w:val="ListBullet"/>
            </w:pPr>
            <w:r w:rsidRPr="00093B97">
              <w:t>applicable documentation including legislation, regulations, codes of practice, workplace procedures and operation ma</w:t>
            </w:r>
            <w:r w:rsidRPr="00093B97">
              <w:t>nuals.</w:t>
            </w:r>
          </w:p>
        </w:tc>
      </w:tr>
    </w:tbl>
    <w:p w:rsidR="00000000" w:rsidRPr="00093B97" w:rsidP="00093B97">
      <w:pPr>
        <w:pStyle w:val="NoPaddingFontSize1"/>
      </w:pPr>
    </w:p>
    <w:p w:rsidR="00000000" w:rsidRPr="00093B97" w:rsidP="00093B97">
      <w:pPr>
        <w:pStyle w:val="AllowPageBreak"/>
      </w:pPr>
    </w:p>
    <w:p w:rsidR="00000000" w:rsidRPr="00093B97" w:rsidP="00093B97">
      <w:pPr>
        <w:pStyle w:val="Heading1"/>
      </w:pPr>
      <w:bookmarkStart w:id="15" w:name="O_1122282"/>
      <w:bookmarkEnd w:id="15"/>
      <w:r w:rsidRPr="00093B97">
        <w:t>Links</w:t>
      </w:r>
    </w:p>
    <w:p w:rsidR="00000000" w:rsidRPr="00093B97" w:rsidP="00801A9D">
      <w:pPr>
        <w:pStyle w:val="BodyText"/>
      </w:pPr>
      <w:r w:rsidRPr="00093B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C66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93B97" w:rsidP="00093B97"/>
    <w:sectPr w:rsidSect="00093B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97" w:rsidRPr="00801A9D" w:rsidP="00801A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9D" w:rsidP="00093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A9D" w:rsidP="00093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01A9D" w:rsidP="00093B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97" w:rsidP="00093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1A9D">
      <w:t>Approved</w:t>
    </w:r>
    <w:r w:rsidR="00801A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1A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1A9D">
      <w:rPr>
        <w:noProof/>
      </w:rPr>
      <w:t>4</w:t>
    </w:r>
    <w:r>
      <w:rPr>
        <w:noProof/>
      </w:rPr>
      <w:fldChar w:fldCharType="end"/>
    </w:r>
  </w:p>
  <w:p w:rsidR="00093B97" w:rsidP="00093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1A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1A9D">
      <w:t>BuildSkills Australia</w:t>
    </w:r>
    <w:r w:rsidR="00801A9D">
      <w:fldChar w:fldCharType="end"/>
    </w:r>
  </w:p>
  <w:p w:rsidR="00093B97" w:rsidP="00093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B97" w:rsidRPr="00801A9D" w:rsidP="00801A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9D" w:rsidRPr="002D2AF8" w:rsidP="00093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NWPCAD021 Coordinate and monitor bulkwater system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1A9D" w:rsidP="00093B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97" w:rsidRPr="002D2AF8" w:rsidP="00093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1A9D">
      <w:t>NWPCAD021 Coordinate and monitor bulkwater system operations</w:t>
    </w:r>
    <w:r w:rsidR="00801A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1A9D">
      <w:rPr>
        <w:noProof/>
      </w:rPr>
      <w:t>2 March 2025</w:t>
    </w:r>
    <w:r>
      <w:fldChar w:fldCharType="end"/>
    </w:r>
  </w:p>
  <w:p w:rsidR="00093B97" w:rsidP="00093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FC0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B213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B97"/>
  </w:style>
  <w:style w:type="character" w:customStyle="1" w:styleId="Heading1Char">
    <w:name w:val="Heading 1 Char"/>
    <w:basedOn w:val="DefaultParagraphFont"/>
    <w:link w:val="Heading1"/>
    <w:rsid w:val="00093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B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B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B97"/>
    <w:rPr>
      <w:b/>
      <w:spacing w:val="0"/>
    </w:rPr>
  </w:style>
  <w:style w:type="paragraph" w:customStyle="1" w:styleId="SuperHeading">
    <w:name w:val="SuperHeading"/>
    <w:basedOn w:val="Normal"/>
    <w:rsid w:val="00093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3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B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B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3B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3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B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B97"/>
    <w:rPr>
      <w:i/>
    </w:rPr>
  </w:style>
  <w:style w:type="paragraph" w:styleId="Caption">
    <w:name w:val="caption"/>
    <w:basedOn w:val="BodyText"/>
    <w:next w:val="Normal"/>
    <w:qFormat/>
    <w:rsid w:val="00093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B97"/>
  </w:style>
  <w:style w:type="paragraph" w:styleId="TableofFigures">
    <w:name w:val="table of figures"/>
    <w:basedOn w:val="Normal"/>
    <w:next w:val="Normal"/>
    <w:semiHidden/>
    <w:rsid w:val="00093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B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3B97"/>
    <w:rPr>
      <w:rFonts w:ascii="Wingdings" w:hAnsi="Wingdings"/>
    </w:rPr>
  </w:style>
  <w:style w:type="paragraph" w:customStyle="1" w:styleId="TableHeading">
    <w:name w:val="Table Heading"/>
    <w:basedOn w:val="HeadingBase"/>
    <w:rsid w:val="00093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B97"/>
    <w:rPr>
      <w:color w:val="0033CC"/>
      <w:u w:val="none"/>
    </w:rPr>
  </w:style>
  <w:style w:type="paragraph" w:customStyle="1" w:styleId="BodyTextRight">
    <w:name w:val="Body Text Right"/>
    <w:basedOn w:val="BodyText"/>
    <w:rsid w:val="00093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B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B97"/>
    <w:rPr>
      <w:sz w:val="32"/>
    </w:rPr>
  </w:style>
  <w:style w:type="paragraph" w:customStyle="1" w:styleId="HeadingProcedure">
    <w:name w:val="Heading Procedure"/>
    <w:basedOn w:val="HeadingBase"/>
    <w:next w:val="Normal"/>
    <w:rsid w:val="00093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B97"/>
    <w:pPr>
      <w:spacing w:before="60" w:after="60"/>
    </w:pPr>
  </w:style>
  <w:style w:type="paragraph" w:styleId="ListContinue">
    <w:name w:val="List Continue"/>
    <w:basedOn w:val="List"/>
    <w:rsid w:val="00093B97"/>
    <w:pPr>
      <w:ind w:firstLine="0"/>
    </w:pPr>
  </w:style>
  <w:style w:type="paragraph" w:customStyle="1" w:styleId="ListNote">
    <w:name w:val="List Note"/>
    <w:basedOn w:val="List"/>
    <w:rsid w:val="00093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B97"/>
    <w:rPr>
      <w:rFonts w:ascii="Courier New" w:hAnsi="Courier New"/>
    </w:rPr>
  </w:style>
  <w:style w:type="paragraph" w:customStyle="1" w:styleId="NoteBullet">
    <w:name w:val="Note Bullet"/>
    <w:basedOn w:val="Note"/>
    <w:rsid w:val="00093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B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3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B97"/>
    <w:rPr>
      <w:b/>
      <w:smallCaps/>
    </w:rPr>
  </w:style>
  <w:style w:type="paragraph" w:customStyle="1" w:styleId="TableListNumber">
    <w:name w:val="Table List Number"/>
    <w:basedOn w:val="ListNumber"/>
    <w:rsid w:val="00093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B97"/>
    <w:pPr>
      <w:numPr>
        <w:numId w:val="8"/>
      </w:numPr>
    </w:pPr>
  </w:style>
  <w:style w:type="paragraph" w:customStyle="1" w:styleId="ListAlpha2">
    <w:name w:val="List Alpha 2"/>
    <w:basedOn w:val="List2"/>
    <w:rsid w:val="00093B97"/>
    <w:pPr>
      <w:numPr>
        <w:numId w:val="7"/>
      </w:numPr>
    </w:pPr>
  </w:style>
  <w:style w:type="paragraph" w:styleId="List2">
    <w:name w:val="List 2"/>
    <w:basedOn w:val="BodyText"/>
    <w:rsid w:val="00093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B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B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3B97"/>
    <w:pPr>
      <w:numPr>
        <w:numId w:val="3"/>
      </w:numPr>
    </w:pPr>
  </w:style>
  <w:style w:type="paragraph" w:styleId="ListContinue2">
    <w:name w:val="List Continue 2"/>
    <w:basedOn w:val="List2"/>
    <w:rsid w:val="00093B97"/>
    <w:pPr>
      <w:ind w:firstLine="0"/>
    </w:pPr>
  </w:style>
  <w:style w:type="paragraph" w:styleId="ListContinue3">
    <w:name w:val="List Continue 3"/>
    <w:basedOn w:val="List3"/>
    <w:rsid w:val="00093B97"/>
    <w:pPr>
      <w:ind w:left="1021" w:firstLine="0"/>
    </w:pPr>
  </w:style>
  <w:style w:type="paragraph" w:styleId="ListContinue4">
    <w:name w:val="List Continue 4"/>
    <w:basedOn w:val="List4"/>
    <w:rsid w:val="00093B97"/>
    <w:pPr>
      <w:ind w:firstLine="0"/>
    </w:pPr>
  </w:style>
  <w:style w:type="paragraph" w:styleId="ListContinue5">
    <w:name w:val="List Continue 5"/>
    <w:basedOn w:val="List5"/>
    <w:rsid w:val="00093B97"/>
    <w:pPr>
      <w:ind w:firstLine="0"/>
    </w:pPr>
  </w:style>
  <w:style w:type="paragraph" w:styleId="ListNumber3">
    <w:name w:val="List Number 3"/>
    <w:basedOn w:val="List3"/>
    <w:rsid w:val="00093B97"/>
    <w:pPr>
      <w:numPr>
        <w:numId w:val="4"/>
      </w:numPr>
    </w:pPr>
  </w:style>
  <w:style w:type="paragraph" w:styleId="ListNumber4">
    <w:name w:val="List Number 4"/>
    <w:basedOn w:val="List4"/>
    <w:rsid w:val="00093B97"/>
    <w:pPr>
      <w:numPr>
        <w:numId w:val="5"/>
      </w:numPr>
    </w:pPr>
  </w:style>
  <w:style w:type="paragraph" w:styleId="ListNumber5">
    <w:name w:val="List Number 5"/>
    <w:basedOn w:val="List5"/>
    <w:rsid w:val="00093B97"/>
    <w:pPr>
      <w:numPr>
        <w:numId w:val="6"/>
      </w:numPr>
    </w:pPr>
  </w:style>
  <w:style w:type="paragraph" w:styleId="BlockText">
    <w:name w:val="Block Text"/>
    <w:basedOn w:val="Normal"/>
    <w:rsid w:val="00093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B97"/>
    <w:rPr>
      <w:sz w:val="16"/>
      <w:vertAlign w:val="superscript"/>
    </w:rPr>
  </w:style>
  <w:style w:type="character" w:customStyle="1" w:styleId="Symbols">
    <w:name w:val="Symbols"/>
    <w:basedOn w:val="DefaultParagraphFont"/>
    <w:rsid w:val="00093B97"/>
    <w:rPr>
      <w:rFonts w:ascii="Symbol" w:hAnsi="Symbol"/>
    </w:rPr>
  </w:style>
  <w:style w:type="character" w:customStyle="1" w:styleId="MenuOptions">
    <w:name w:val="Menu Options"/>
    <w:basedOn w:val="DefaultParagraphFont"/>
    <w:rsid w:val="00093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B97"/>
    <w:rPr>
      <w:b/>
    </w:rPr>
  </w:style>
  <w:style w:type="character" w:customStyle="1" w:styleId="Underlined">
    <w:name w:val="Underlined"/>
    <w:basedOn w:val="DefaultParagraphFont"/>
    <w:rsid w:val="00093B97"/>
    <w:rPr>
      <w:u w:val="single"/>
    </w:rPr>
  </w:style>
  <w:style w:type="paragraph" w:customStyle="1" w:styleId="TableBodyTextRight">
    <w:name w:val="Table Body Text Right"/>
    <w:basedOn w:val="TableBodyText"/>
    <w:rsid w:val="00093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B97"/>
    <w:rPr>
      <w:sz w:val="18"/>
    </w:rPr>
  </w:style>
  <w:style w:type="paragraph" w:customStyle="1" w:styleId="BodySmallRight">
    <w:name w:val="Body Small Right"/>
    <w:basedOn w:val="BodyTextRight"/>
    <w:rsid w:val="00093B97"/>
    <w:rPr>
      <w:sz w:val="18"/>
      <w:szCs w:val="18"/>
    </w:rPr>
  </w:style>
  <w:style w:type="paragraph" w:customStyle="1" w:styleId="MarginEdition">
    <w:name w:val="Margin Edition"/>
    <w:basedOn w:val="MarginNote"/>
    <w:rsid w:val="00093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B97"/>
    <w:rPr>
      <w:sz w:val="2"/>
      <w:szCs w:val="2"/>
    </w:rPr>
  </w:style>
  <w:style w:type="character" w:customStyle="1" w:styleId="Small">
    <w:name w:val="Small"/>
    <w:basedOn w:val="DefaultParagraphFont"/>
    <w:rsid w:val="00093B97"/>
    <w:rPr>
      <w:sz w:val="16"/>
    </w:rPr>
  </w:style>
  <w:style w:type="paragraph" w:customStyle="1" w:styleId="WideTable">
    <w:name w:val="Wide Table"/>
    <w:basedOn w:val="Normal"/>
    <w:rsid w:val="00093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B97"/>
  </w:style>
  <w:style w:type="paragraph" w:styleId="Quote">
    <w:name w:val="Quote"/>
    <w:basedOn w:val="Heading1"/>
    <w:link w:val="QuoteChar"/>
    <w:qFormat/>
    <w:rsid w:val="00093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B97"/>
    <w:pPr>
      <w:pageBreakBefore/>
    </w:pPr>
  </w:style>
  <w:style w:type="paragraph" w:customStyle="1" w:styleId="Border">
    <w:name w:val="Border"/>
    <w:basedOn w:val="Normal"/>
    <w:qFormat/>
    <w:rsid w:val="00093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B97"/>
    <w:rPr>
      <w:u w:val="single"/>
    </w:rPr>
  </w:style>
  <w:style w:type="character" w:customStyle="1" w:styleId="BoldandItalics">
    <w:name w:val="Bold and Italics"/>
    <w:qFormat/>
    <w:rsid w:val="00093B97"/>
    <w:rPr>
      <w:b/>
      <w:i/>
      <w:u w:val="none"/>
    </w:rPr>
  </w:style>
  <w:style w:type="paragraph" w:styleId="BalloonText">
    <w:name w:val="Balloon Text"/>
    <w:basedOn w:val="Normal"/>
    <w:link w:val="BalloonTextChar"/>
    <w:rsid w:val="00093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B97"/>
    <w:pPr>
      <w:spacing w:before="0" w:after="0"/>
    </w:pPr>
  </w:style>
  <w:style w:type="paragraph" w:customStyle="1" w:styleId="BodyTextBold">
    <w:name w:val="Body Text Bold"/>
    <w:basedOn w:val="BodyText"/>
    <w:qFormat/>
    <w:rsid w:val="00093B97"/>
    <w:rPr>
      <w:b/>
    </w:rPr>
  </w:style>
  <w:style w:type="character" w:styleId="Hyperlink">
    <w:name w:val="Hyperlink"/>
    <w:basedOn w:val="DefaultParagraphFont"/>
    <w:uiPriority w:val="99"/>
    <w:unhideWhenUsed/>
    <w:rsid w:val="00801A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5338</Characters>
  <Application>Microsoft Office Word</Application>
  <DocSecurity>0</DocSecurity>
  <Lines>205</Lines>
  <Paragraphs>124</Paragraphs>
  <ScaleCrop>false</ScaleCrop>
  <Company>Author-it Software Corporation Ltd.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NWPCAD021 Coordinate and monitor bulkwater system operations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2025-03-01T13:34:00Z</dcterms:created>
  <dcterms:modified xsi:type="dcterms:W3CDTF">2025-03-01T13:34:00Z</dcterms:modified>
</cp:coreProperties>
</file>