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02A6" w:rsidP="007F02A6">
      <w:pPr>
        <w:pStyle w:val="Title"/>
      </w:pPr>
      <w:r>
        <w:fldChar w:fldCharType="begin"/>
      </w:r>
      <w:r>
        <w:instrText xml:space="preserve"> TITLE   \* MERGEFORMAT </w:instrText>
      </w:r>
      <w:r>
        <w:fldChar w:fldCharType="separate"/>
      </w:r>
      <w:r>
        <w:t>NWPCAD019 Monitor and operate groundwater extraction</w:t>
      </w:r>
      <w:r>
        <w:fldChar w:fldCharType="end"/>
      </w:r>
    </w:p>
    <w:p w:rsidR="007F02A6" w:rsidP="007F02A6">
      <w:pPr>
        <w:pStyle w:val="Version"/>
        <w:sectPr w:rsidSect="003D1E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1E71" w:rsidP="003D1E71">
      <w:pPr>
        <w:pStyle w:val="SuperHeading"/>
      </w:pPr>
      <w:r w:rsidRPr="003D1E71">
        <w:t>NWPCAD019 Monitor and operate groundwater extraction</w:t>
      </w:r>
    </w:p>
    <w:p w:rsidR="00000000" w:rsidRPr="003D1E71" w:rsidP="003D1E71">
      <w:pPr>
        <w:pStyle w:val="Heading1"/>
      </w:pPr>
      <w:bookmarkStart w:id="1" w:name="O_1061363"/>
      <w:bookmarkEnd w:id="1"/>
      <w:r w:rsidRPr="003D1E71">
        <w:t>Modification History</w:t>
      </w:r>
    </w:p>
    <w:tbl>
      <w:tblPr>
        <w:tblW w:w="9497" w:type="dxa"/>
        <w:tblLayout w:type="fixed"/>
        <w:tblCellMar>
          <w:left w:w="62" w:type="dxa"/>
          <w:right w:w="62" w:type="dxa"/>
        </w:tblCellMar>
        <w:tblLook w:val="0000"/>
      </w:tblPr>
      <w:tblGrid>
        <w:gridCol w:w="9497"/>
      </w:tblGrid>
      <w:tr w:rsidTr="003D1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1E71" w:rsidP="003D1E71">
            <w:pPr>
              <w:pStyle w:val="BodyText"/>
            </w:pPr>
            <w:r w:rsidRPr="003D1E71">
              <w:t>Release 1. This is the first release of this unit of competency in the NWP National Water Training Package.</w:t>
            </w:r>
          </w:p>
        </w:tc>
      </w:tr>
    </w:tbl>
    <w:p w:rsidR="00000000" w:rsidRPr="003D1E71" w:rsidP="003D1E71">
      <w:pPr>
        <w:pStyle w:val="NoPaddingFontSize1"/>
      </w:pPr>
    </w:p>
    <w:p w:rsidR="00000000" w:rsidRPr="003D1E71" w:rsidP="003D1E71">
      <w:pPr>
        <w:pStyle w:val="AllowPageBreak"/>
      </w:pPr>
    </w:p>
    <w:p w:rsidR="00000000" w:rsidRPr="003D1E71" w:rsidP="003D1E71">
      <w:pPr>
        <w:pStyle w:val="Heading1"/>
      </w:pPr>
      <w:bookmarkStart w:id="2" w:name="O_1061364"/>
      <w:bookmarkEnd w:id="2"/>
      <w:r w:rsidRPr="003D1E71">
        <w:t>Application</w:t>
      </w:r>
    </w:p>
    <w:tbl>
      <w:tblPr>
        <w:tblW w:w="9497" w:type="dxa"/>
        <w:tblLayout w:type="fixed"/>
        <w:tblCellMar>
          <w:left w:w="62" w:type="dxa"/>
          <w:right w:w="62" w:type="dxa"/>
        </w:tblCellMar>
        <w:tblLook w:val="0000"/>
      </w:tblPr>
      <w:tblGrid>
        <w:gridCol w:w="9497"/>
      </w:tblGrid>
      <w:tr w:rsidTr="003D1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1E71" w:rsidP="003D1E71">
            <w:pPr>
              <w:pStyle w:val="BodyText"/>
            </w:pPr>
            <w:r w:rsidRPr="003D1E71">
              <w:t xml:space="preserve">This unit involves the skills and knowledge required to monitor and operate </w:t>
            </w:r>
            <w:r w:rsidRPr="003D1E71">
              <w:t>groundwater extraction.</w:t>
            </w:r>
          </w:p>
          <w:p w:rsidR="00000000" w:rsidRPr="003D1E71" w:rsidP="003D1E71">
            <w:pPr>
              <w:pStyle w:val="BodyText"/>
            </w:pPr>
            <w:r w:rsidRPr="003D1E71">
              <w:t xml:space="preserve">It includes monitoring the extraction of water from waterways and water bodies and reporting risks, compliance and complaints.  It also includes operating pumps and meters, monitoring availability and quality of supply, controlling </w:t>
            </w:r>
            <w:r w:rsidRPr="003D1E71">
              <w:t>water flows from the source and applying legislative and workplace requirements.</w:t>
            </w:r>
          </w:p>
          <w:p w:rsidR="00000000" w:rsidRPr="003D1E71" w:rsidP="003D1E71">
            <w:pPr>
              <w:pStyle w:val="BodyText"/>
            </w:pPr>
            <w:r w:rsidRPr="003D1E71">
              <w:t>This unit applies to field staff with responsibility for ensuring water extraction complies with water use legislation.  Those undertaking this unit would work under appropria</w:t>
            </w:r>
            <w:r w:rsidRPr="003D1E71">
              <w:t>te supervision, while performing routine tasks in range of familiar contexts.</w:t>
            </w:r>
          </w:p>
          <w:p w:rsidR="00000000" w:rsidRPr="003D1E71" w:rsidP="003D1E71">
            <w:pPr>
              <w:pStyle w:val="BodyText"/>
            </w:pPr>
            <w:r w:rsidRPr="003D1E71">
              <w:t>No licensing, legislative or certification requirements apply to this unit at the time of publication.</w:t>
            </w:r>
          </w:p>
        </w:tc>
      </w:tr>
    </w:tbl>
    <w:p w:rsidR="00000000" w:rsidRPr="003D1E71" w:rsidP="003D1E71">
      <w:pPr>
        <w:pStyle w:val="NoPaddingFontSize1"/>
      </w:pPr>
    </w:p>
    <w:p w:rsidR="00000000" w:rsidRPr="003D1E71" w:rsidP="003D1E71">
      <w:pPr>
        <w:pStyle w:val="AllowPageBreak"/>
      </w:pPr>
    </w:p>
    <w:p w:rsidR="00000000" w:rsidRPr="003D1E71" w:rsidP="003D1E71">
      <w:pPr>
        <w:pStyle w:val="Heading1"/>
      </w:pPr>
      <w:bookmarkStart w:id="3" w:name="O_1061365"/>
      <w:bookmarkEnd w:id="3"/>
      <w:r w:rsidRPr="003D1E71">
        <w:t>Pre-requisite Unit</w:t>
      </w:r>
    </w:p>
    <w:tbl>
      <w:tblPr>
        <w:tblW w:w="9497" w:type="dxa"/>
        <w:tblLayout w:type="fixed"/>
        <w:tblCellMar>
          <w:left w:w="62" w:type="dxa"/>
          <w:right w:w="62" w:type="dxa"/>
        </w:tblCellMar>
        <w:tblLook w:val="0000"/>
      </w:tblPr>
      <w:tblGrid>
        <w:gridCol w:w="9497"/>
      </w:tblGrid>
      <w:tr w:rsidTr="003D1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1E71" w:rsidP="003D1E71">
            <w:pPr>
              <w:pStyle w:val="BodyText"/>
            </w:pPr>
            <w:r w:rsidRPr="003D1E71">
              <w:t>Not applicable.</w:t>
            </w:r>
          </w:p>
        </w:tc>
      </w:tr>
    </w:tbl>
    <w:p w:rsidR="00000000" w:rsidRPr="003D1E71" w:rsidP="003D1E71">
      <w:pPr>
        <w:pStyle w:val="NoPaddingFontSize1"/>
      </w:pPr>
    </w:p>
    <w:p w:rsidR="00000000" w:rsidRPr="003D1E71" w:rsidP="003D1E71">
      <w:pPr>
        <w:pStyle w:val="AllowPageBreak"/>
      </w:pPr>
    </w:p>
    <w:p w:rsidR="00000000" w:rsidRPr="003D1E71" w:rsidP="003D1E71">
      <w:pPr>
        <w:pStyle w:val="Heading1"/>
      </w:pPr>
      <w:bookmarkStart w:id="4" w:name="O_1061366"/>
      <w:bookmarkEnd w:id="4"/>
      <w:r w:rsidRPr="003D1E71">
        <w:t>Competency Field</w:t>
      </w:r>
    </w:p>
    <w:tbl>
      <w:tblPr>
        <w:tblW w:w="9497" w:type="dxa"/>
        <w:tblLayout w:type="fixed"/>
        <w:tblCellMar>
          <w:left w:w="62" w:type="dxa"/>
          <w:right w:w="62" w:type="dxa"/>
        </w:tblCellMar>
        <w:tblLook w:val="0000"/>
      </w:tblPr>
      <w:tblGrid>
        <w:gridCol w:w="9497"/>
      </w:tblGrid>
      <w:tr w:rsidTr="003D1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1E71" w:rsidP="003D1E71">
            <w:pPr>
              <w:pStyle w:val="BodyText"/>
            </w:pPr>
            <w:r w:rsidRPr="003D1E71">
              <w:t>Catchment and Dams</w:t>
            </w:r>
          </w:p>
        </w:tc>
      </w:tr>
    </w:tbl>
    <w:p w:rsidR="00000000" w:rsidRPr="003D1E71" w:rsidP="003D1E71">
      <w:pPr>
        <w:pStyle w:val="NoPaddingFontSize1"/>
      </w:pPr>
    </w:p>
    <w:p w:rsidR="00000000" w:rsidRPr="003D1E71" w:rsidP="003D1E71">
      <w:pPr>
        <w:pStyle w:val="AllowPageBreak"/>
      </w:pPr>
    </w:p>
    <w:p w:rsidR="00000000" w:rsidRPr="003D1E71" w:rsidP="003D1E71">
      <w:pPr>
        <w:pStyle w:val="Heading1"/>
      </w:pPr>
      <w:bookmarkStart w:id="5" w:name="O_1061367"/>
      <w:bookmarkEnd w:id="5"/>
      <w:r w:rsidRPr="003D1E71">
        <w:t>Unit Sector</w:t>
      </w:r>
    </w:p>
    <w:tbl>
      <w:tblPr>
        <w:tblW w:w="9497" w:type="dxa"/>
        <w:tblLayout w:type="fixed"/>
        <w:tblCellMar>
          <w:left w:w="62" w:type="dxa"/>
          <w:right w:w="62" w:type="dxa"/>
        </w:tblCellMar>
        <w:tblLook w:val="0000"/>
      </w:tblPr>
      <w:tblGrid>
        <w:gridCol w:w="9497"/>
      </w:tblGrid>
      <w:tr w:rsidTr="003D1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1E71" w:rsidP="003D1E71">
            <w:pPr>
              <w:pStyle w:val="BodyText"/>
            </w:pPr>
            <w:r w:rsidRPr="003D1E71">
              <w:t>Not applicable.</w:t>
            </w:r>
          </w:p>
        </w:tc>
      </w:tr>
    </w:tbl>
    <w:p w:rsidR="00000000" w:rsidRPr="003D1E71" w:rsidP="003D1E71">
      <w:pPr>
        <w:pStyle w:val="NoPaddingFontSize1"/>
      </w:pPr>
    </w:p>
    <w:p w:rsidR="00000000" w:rsidRPr="003D1E71" w:rsidP="003D1E71">
      <w:pPr>
        <w:pStyle w:val="AllowPageBreak"/>
      </w:pPr>
    </w:p>
    <w:p w:rsidR="00000000" w:rsidRPr="003D1E71" w:rsidP="003D1E71">
      <w:pPr>
        <w:pStyle w:val="Heading1"/>
      </w:pPr>
      <w:bookmarkStart w:id="6" w:name="O_1061368"/>
      <w:bookmarkEnd w:id="6"/>
      <w:r w:rsidRPr="003D1E7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D1E7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D1E71" w:rsidP="003D1E71">
            <w:pPr>
              <w:pStyle w:val="BodyText"/>
            </w:pPr>
            <w:r w:rsidRPr="003D1E7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rPr>
                <w:rStyle w:val="SpecialBold"/>
              </w:rPr>
              <w:t>PERFORMANCE CRITERIA</w:t>
            </w:r>
          </w:p>
        </w:tc>
      </w:tr>
      <w:tr w:rsidTr="003D1E7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t>Performance criteria describe the performance needed to demonstrate achievement of the element.</w:t>
            </w:r>
          </w:p>
        </w:tc>
      </w:tr>
      <w:tr w:rsidTr="003D1E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D1E71" w:rsidP="003D1E71">
            <w:pPr>
              <w:pStyle w:val="BodyText"/>
            </w:pPr>
            <w:r w:rsidRPr="003D1E7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D1E71" w:rsidP="003D1E71">
            <w:pPr>
              <w:pStyle w:val="BodyText"/>
            </w:pPr>
            <w:r w:rsidRPr="003D1E71">
              <w:rPr>
                <w:rStyle w:val="SpecialBold"/>
              </w:rPr>
              <w:t>Prepare for work</w:t>
            </w:r>
          </w:p>
        </w:tc>
        <w:tc>
          <w:tcPr>
            <w:tcW w:w="697"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t>Interpret relevant legislation, workplace procedures and requirements</w:t>
            </w:r>
          </w:p>
        </w:tc>
      </w:tr>
      <w:tr w:rsidTr="003D1E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1E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t>Locate bore sites from plans and job specifications</w:t>
            </w:r>
          </w:p>
        </w:tc>
      </w:tr>
      <w:tr w:rsidTr="003D1E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1E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t>Schedule and plan inspection of bore asset and communicate with appropriate personnel</w:t>
            </w:r>
          </w:p>
        </w:tc>
      </w:tr>
      <w:tr w:rsidTr="003D1E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1E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t>Select, check and prepare equipment to monitor water extraction</w:t>
            </w:r>
          </w:p>
        </w:tc>
      </w:tr>
      <w:tr w:rsidTr="003D1E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1E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t>Conduct a risk assessment of bore operations and determine control measures</w:t>
            </w:r>
          </w:p>
        </w:tc>
      </w:tr>
      <w:tr w:rsidTr="003D1E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D1E71" w:rsidP="003D1E71">
            <w:pPr>
              <w:pStyle w:val="BodyText"/>
            </w:pPr>
            <w:r w:rsidRPr="003D1E7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D1E71" w:rsidP="003D1E71">
            <w:pPr>
              <w:pStyle w:val="BodyText"/>
            </w:pPr>
            <w:r w:rsidRPr="003D1E71">
              <w:rPr>
                <w:rStyle w:val="SpecialBold"/>
              </w:rPr>
              <w:t>Monitor and operate groundwater extraction systems</w:t>
            </w:r>
          </w:p>
        </w:tc>
        <w:tc>
          <w:tcPr>
            <w:tcW w:w="697"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t>Monitor designated locations within groundwater source area according to agreed schedule</w:t>
            </w:r>
          </w:p>
        </w:tc>
      </w:tr>
      <w:tr w:rsidTr="003D1E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1E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t xml:space="preserve">Conduct inspection of bore assets, take meter readings and for water depth </w:t>
            </w:r>
          </w:p>
        </w:tc>
      </w:tr>
      <w:tr w:rsidTr="003D1E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1E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t>Calculate recharge and extraction rates</w:t>
            </w:r>
          </w:p>
        </w:tc>
      </w:tr>
      <w:tr w:rsidTr="003D1E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1E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t>Collect samples and conduct standard tests according to workplace procedures</w:t>
            </w:r>
          </w:p>
        </w:tc>
      </w:tr>
      <w:tr w:rsidTr="003D1E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1E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t xml:space="preserve">Adjust pump flows to meet customer orders </w:t>
            </w:r>
          </w:p>
        </w:tc>
      </w:tr>
      <w:tr w:rsidTr="003D1E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1E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t>Identify breaches according to legislation and workplace procedures</w:t>
            </w:r>
          </w:p>
        </w:tc>
      </w:tr>
      <w:tr w:rsidTr="003D1E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D1E71" w:rsidP="003D1E71">
            <w:pPr>
              <w:pStyle w:val="BodyText"/>
            </w:pPr>
            <w:r w:rsidRPr="003D1E7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D1E71" w:rsidP="003D1E71">
            <w:pPr>
              <w:pStyle w:val="BodyText"/>
            </w:pPr>
            <w:r w:rsidRPr="003D1E71">
              <w:rPr>
                <w:rStyle w:val="SpecialBold"/>
              </w:rPr>
              <w:t>Identify and report risks, breaches and complaints</w:t>
            </w:r>
          </w:p>
        </w:tc>
        <w:tc>
          <w:tcPr>
            <w:tcW w:w="697"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t>Identify risks to stakeholders and environment</w:t>
            </w:r>
          </w:p>
        </w:tc>
      </w:tr>
      <w:tr w:rsidTr="003D1E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1E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t>Identify and report breaches according to workplace procedures</w:t>
            </w:r>
          </w:p>
        </w:tc>
      </w:tr>
      <w:tr w:rsidTr="003D1E7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D1E7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D1E71">
            <w:pPr>
              <w:pStyle w:val="BodyText"/>
              <w:rPr>
                <w:lang w:val="en-NZ"/>
              </w:rPr>
            </w:pPr>
            <w:r w:rsidRPr="003D1E7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3D1E71" w:rsidP="003D1E71">
            <w:pPr>
              <w:pStyle w:val="BodyText"/>
            </w:pPr>
            <w:r w:rsidRPr="003D1E71">
              <w:t>Investigate and report complaints from the stakeholders regarding water allocation and quality</w:t>
            </w:r>
          </w:p>
        </w:tc>
      </w:tr>
    </w:tbl>
    <w:p w:rsidR="00000000" w:rsidRPr="003D1E71" w:rsidP="003D1E71">
      <w:pPr>
        <w:pStyle w:val="NoPaddingFontSize1"/>
      </w:pPr>
    </w:p>
    <w:p w:rsidR="00000000" w:rsidRPr="003D1E71" w:rsidP="003D1E71">
      <w:pPr>
        <w:pStyle w:val="AllowPageBreak"/>
      </w:pPr>
    </w:p>
    <w:p w:rsidR="00000000" w:rsidRPr="003D1E71" w:rsidP="003D1E71">
      <w:pPr>
        <w:pStyle w:val="Heading1"/>
      </w:pPr>
      <w:bookmarkStart w:id="7" w:name="O_1061369"/>
      <w:bookmarkEnd w:id="7"/>
      <w:r w:rsidRPr="003D1E71">
        <w:t>Foundation Skills</w:t>
      </w:r>
    </w:p>
    <w:tbl>
      <w:tblPr>
        <w:tblW w:w="9497" w:type="dxa"/>
        <w:tblLayout w:type="fixed"/>
        <w:tblCellMar>
          <w:left w:w="62" w:type="dxa"/>
          <w:right w:w="62" w:type="dxa"/>
        </w:tblCellMar>
        <w:tblLook w:val="0000"/>
      </w:tblPr>
      <w:tblGrid>
        <w:gridCol w:w="9497"/>
      </w:tblGrid>
      <w:tr w:rsidTr="003D1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1E71" w:rsidP="003D1E71">
            <w:pPr>
              <w:pStyle w:val="BodyText"/>
            </w:pPr>
            <w:r w:rsidRPr="003D1E71">
              <w:t>Foundation skills essential to performance are explicit in the performance criteria of this unit of competency.</w:t>
            </w:r>
          </w:p>
        </w:tc>
      </w:tr>
    </w:tbl>
    <w:p w:rsidR="00000000" w:rsidRPr="003D1E71" w:rsidP="003D1E71">
      <w:pPr>
        <w:pStyle w:val="NoPaddingFontSize1"/>
      </w:pPr>
    </w:p>
    <w:p w:rsidR="00000000" w:rsidRPr="003D1E71" w:rsidP="003D1E71">
      <w:pPr>
        <w:pStyle w:val="AllowPageBreak"/>
      </w:pPr>
    </w:p>
    <w:p w:rsidR="00000000" w:rsidRPr="003D1E71" w:rsidP="003D1E71">
      <w:pPr>
        <w:pStyle w:val="Heading1"/>
      </w:pPr>
      <w:bookmarkStart w:id="8" w:name="O_1061370"/>
      <w:bookmarkEnd w:id="8"/>
      <w:r w:rsidRPr="003D1E71">
        <w:t>Range of Conditions</w:t>
      </w:r>
    </w:p>
    <w:tbl>
      <w:tblPr>
        <w:tblW w:w="9497" w:type="dxa"/>
        <w:tblLayout w:type="fixed"/>
        <w:tblCellMar>
          <w:left w:w="62" w:type="dxa"/>
          <w:right w:w="62" w:type="dxa"/>
        </w:tblCellMar>
        <w:tblLook w:val="0000"/>
      </w:tblPr>
      <w:tblGrid>
        <w:gridCol w:w="9497"/>
      </w:tblGrid>
      <w:tr w:rsidTr="003D1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1E71" w:rsidP="003D1E71">
            <w:pPr>
              <w:pStyle w:val="BodyText"/>
            </w:pPr>
            <w:r w:rsidRPr="003D1E71">
              <w:t>Range is restricted to essential operating conditions and any other variables essential to the work environment.</w:t>
            </w:r>
          </w:p>
          <w:p w:rsidR="00000000" w:rsidRPr="003D1E71" w:rsidP="003D1E71">
            <w:pPr>
              <w:pStyle w:val="BodyText"/>
            </w:pPr>
            <w:r w:rsidRPr="003D1E71">
              <w:t>Non-essential conditions may be found in the Companion Volume Implementation Guide.</w:t>
            </w:r>
          </w:p>
        </w:tc>
      </w:tr>
    </w:tbl>
    <w:p w:rsidR="00000000" w:rsidRPr="003D1E71" w:rsidP="003D1E71">
      <w:pPr>
        <w:pStyle w:val="NoPaddingFontSize1"/>
      </w:pPr>
    </w:p>
    <w:p w:rsidR="00000000" w:rsidRPr="003D1E71" w:rsidP="003D1E71">
      <w:pPr>
        <w:pStyle w:val="AllowPageBreak"/>
      </w:pPr>
    </w:p>
    <w:p w:rsidR="00000000" w:rsidRPr="003D1E71" w:rsidP="003D1E71">
      <w:pPr>
        <w:pStyle w:val="Heading1"/>
      </w:pPr>
      <w:bookmarkStart w:id="9" w:name="O_1061371"/>
      <w:bookmarkEnd w:id="9"/>
      <w:r w:rsidRPr="003D1E71">
        <w:t>Unit Mapping Information</w:t>
      </w:r>
    </w:p>
    <w:tbl>
      <w:tblPr>
        <w:tblW w:w="9497" w:type="dxa"/>
        <w:tblLayout w:type="fixed"/>
        <w:tblCellMar>
          <w:left w:w="62" w:type="dxa"/>
          <w:right w:w="62" w:type="dxa"/>
        </w:tblCellMar>
        <w:tblLook w:val="0000"/>
      </w:tblPr>
      <w:tblGrid>
        <w:gridCol w:w="9497"/>
      </w:tblGrid>
      <w:tr w:rsidTr="003D1E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1E71" w:rsidP="003D1E71">
            <w:pPr>
              <w:pStyle w:val="BodyText"/>
            </w:pPr>
            <w:r w:rsidRPr="003D1E71">
              <w:t>This unit replaces and is equivalent to NWPSOU051 Monitor and operate groundwater extraction.</w:t>
            </w:r>
          </w:p>
        </w:tc>
      </w:tr>
    </w:tbl>
    <w:p w:rsidR="00000000" w:rsidRPr="003D1E71" w:rsidP="003D1E71">
      <w:pPr>
        <w:pStyle w:val="NoPaddingFontSize1"/>
      </w:pPr>
    </w:p>
    <w:p w:rsidR="00000000" w:rsidRPr="003D1E71" w:rsidP="003D1E71">
      <w:pPr>
        <w:pStyle w:val="AllowPageBreak"/>
      </w:pPr>
    </w:p>
    <w:p w:rsidR="00000000" w:rsidRPr="003D1E71" w:rsidP="003D1E71">
      <w:pPr>
        <w:pStyle w:val="Heading1"/>
      </w:pPr>
      <w:bookmarkStart w:id="10" w:name="O_1061378"/>
      <w:bookmarkEnd w:id="10"/>
      <w:r w:rsidRPr="003D1E71">
        <w:t>Links</w:t>
      </w:r>
    </w:p>
    <w:p w:rsidR="00000000" w:rsidRPr="003D1E71" w:rsidP="007F02A6">
      <w:pPr>
        <w:pStyle w:val="BodyText"/>
      </w:pPr>
      <w:r w:rsidRPr="003D1E7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84EAE">
        <w:rPr>
          <w:rStyle w:val="Hyperlink"/>
        </w:rPr>
        <w:t>https://vetnet.gov.au/Pages/TrainingDocs.aspx?q=26336bc0-04e5-49d9-8c31-46c49b6a0037</w:t>
      </w:r>
      <w:r>
        <w:fldChar w:fldCharType="end"/>
      </w:r>
    </w:p>
    <w:p w:rsidR="00000000" w:rsidRPr="003D1E71" w:rsidP="007F02A6">
      <w:pPr>
        <w:pStyle w:val="BodyText"/>
      </w:pPr>
      <w:r w:rsidRPr="003D1E7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84EAE">
        <w:rPr>
          <w:rStyle w:val="Hyperlink"/>
        </w:rPr>
        <w:t>https://vetnet.gov.au/Pages/TrainingDocs.aspx?q=26336bc0-04e5-49d9-8c31-46c49b6a0037</w:t>
      </w:r>
      <w:r>
        <w:fldChar w:fldCharType="end"/>
      </w:r>
    </w:p>
    <w:p w:rsidR="00000000" w:rsidRPr="003D1E71" w:rsidP="007F02A6">
      <w:pPr>
        <w:pStyle w:val="BodyText"/>
      </w:pPr>
      <w:r w:rsidRPr="003D1E7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984EAE">
        <w:rPr>
          <w:rStyle w:val="Hyperlink"/>
        </w:rPr>
        <w:t>https://vetnet.gov.au/Pages/TrainingDocs.aspx?q=26336bc0-04e5-49d9-8c31-46c49b6a0037</w:t>
      </w:r>
      <w:r>
        <w:fldChar w:fldCharType="end"/>
      </w:r>
    </w:p>
    <w:p w:rsidR="00000000" w:rsidRPr="003D1E71" w:rsidP="003D1E71"/>
    <w:sectPr w:rsidSect="003D1E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E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E71" w:rsidRPr="007F02A6" w:rsidP="007F02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E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2A6" w:rsidP="003D1E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02A6" w:rsidP="003D1E7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F02A6" w:rsidP="003D1E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E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2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1E71" w:rsidRPr="007F02A6" w:rsidP="007F02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E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2A6" w:rsidRPr="002D2AF8" w:rsidP="003D1E71">
    <w:pPr>
      <w:pStyle w:val="Header"/>
      <w:framePr w:wrap="around"/>
    </w:pPr>
    <w:r>
      <w:fldChar w:fldCharType="begin"/>
    </w:r>
    <w:r>
      <w:instrText xml:space="preserve"> TITLE   \* MERGEFORMAT </w:instrText>
    </w:r>
    <w:r>
      <w:fldChar w:fldCharType="separate"/>
    </w:r>
    <w:r>
      <w:t>NWPCAD019 Monitor and operate groundwater extraction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7F02A6" w:rsidP="003D1E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E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E71"/>
    <w:pPr>
      <w:spacing w:before="360" w:after="60"/>
      <w:outlineLvl w:val="0"/>
    </w:pPr>
    <w:rPr>
      <w:sz w:val="32"/>
    </w:rPr>
  </w:style>
  <w:style w:type="paragraph" w:styleId="Heading2">
    <w:name w:val="heading 2"/>
    <w:basedOn w:val="HeadingBase"/>
    <w:next w:val="BodyText"/>
    <w:link w:val="Heading2Char"/>
    <w:qFormat/>
    <w:rsid w:val="003D1E71"/>
    <w:pPr>
      <w:keepLines/>
      <w:spacing w:before="240" w:after="120"/>
      <w:outlineLvl w:val="1"/>
    </w:pPr>
    <w:rPr>
      <w:sz w:val="28"/>
      <w:szCs w:val="40"/>
    </w:rPr>
  </w:style>
  <w:style w:type="paragraph" w:styleId="Heading3">
    <w:name w:val="heading 3"/>
    <w:basedOn w:val="HeadingBase"/>
    <w:next w:val="BodyText"/>
    <w:link w:val="Heading3Char"/>
    <w:qFormat/>
    <w:rsid w:val="003D1E71"/>
    <w:pPr>
      <w:spacing w:before="180" w:after="120"/>
      <w:outlineLvl w:val="2"/>
    </w:pPr>
    <w:rPr>
      <w:spacing w:val="-10"/>
      <w:kern w:val="32"/>
    </w:rPr>
  </w:style>
  <w:style w:type="paragraph" w:styleId="Heading4">
    <w:name w:val="heading 4"/>
    <w:basedOn w:val="HeadingBase"/>
    <w:next w:val="BodyText"/>
    <w:link w:val="Heading4Char"/>
    <w:qFormat/>
    <w:rsid w:val="003D1E71"/>
    <w:pPr>
      <w:spacing w:before="160" w:after="120"/>
      <w:outlineLvl w:val="3"/>
    </w:pPr>
    <w:rPr>
      <w:sz w:val="22"/>
    </w:rPr>
  </w:style>
  <w:style w:type="paragraph" w:styleId="Heading5">
    <w:name w:val="heading 5"/>
    <w:basedOn w:val="HeadingBase"/>
    <w:next w:val="Normal"/>
    <w:link w:val="Heading5Char"/>
    <w:qFormat/>
    <w:rsid w:val="003D1E71"/>
    <w:pPr>
      <w:spacing w:before="80"/>
      <w:outlineLvl w:val="4"/>
    </w:pPr>
    <w:rPr>
      <w:color w:val="918585"/>
      <w:sz w:val="20"/>
    </w:rPr>
  </w:style>
  <w:style w:type="paragraph" w:styleId="Heading6">
    <w:name w:val="heading 6"/>
    <w:basedOn w:val="HeadingBase"/>
    <w:next w:val="Normal"/>
    <w:link w:val="Heading6Char"/>
    <w:qFormat/>
    <w:rsid w:val="003D1E71"/>
    <w:pPr>
      <w:spacing w:before="60"/>
      <w:outlineLvl w:val="5"/>
    </w:pPr>
    <w:rPr>
      <w:color w:val="918585"/>
      <w:sz w:val="20"/>
    </w:rPr>
  </w:style>
  <w:style w:type="paragraph" w:styleId="Heading7">
    <w:name w:val="heading 7"/>
    <w:basedOn w:val="Normal"/>
    <w:next w:val="Normal"/>
    <w:link w:val="Heading7Char"/>
    <w:qFormat/>
    <w:rsid w:val="003D1E71"/>
    <w:pPr>
      <w:ind w:left="720"/>
      <w:outlineLvl w:val="6"/>
    </w:pPr>
    <w:rPr>
      <w:i/>
    </w:rPr>
  </w:style>
  <w:style w:type="paragraph" w:styleId="Heading8">
    <w:name w:val="heading 8"/>
    <w:basedOn w:val="Normal"/>
    <w:next w:val="Normal"/>
    <w:link w:val="Heading8Char"/>
    <w:qFormat/>
    <w:rsid w:val="003D1E71"/>
    <w:pPr>
      <w:ind w:left="720"/>
      <w:outlineLvl w:val="7"/>
    </w:pPr>
    <w:rPr>
      <w:i/>
    </w:rPr>
  </w:style>
  <w:style w:type="paragraph" w:styleId="Heading9">
    <w:name w:val="heading 9"/>
    <w:basedOn w:val="Normal"/>
    <w:next w:val="Normal"/>
    <w:link w:val="Heading9Char"/>
    <w:qFormat/>
    <w:rsid w:val="003D1E71"/>
    <w:pPr>
      <w:ind w:left="720"/>
      <w:outlineLvl w:val="8"/>
    </w:pPr>
    <w:rPr>
      <w:i/>
    </w:rPr>
  </w:style>
  <w:style w:type="character" w:default="1" w:styleId="DefaultParagraphFont">
    <w:name w:val="Default Paragraph Font"/>
    <w:uiPriority w:val="1"/>
    <w:unhideWhenUsed/>
    <w:rsid w:val="003D1E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E71"/>
  </w:style>
  <w:style w:type="character" w:customStyle="1" w:styleId="Heading1Char">
    <w:name w:val="Heading 1 Char"/>
    <w:basedOn w:val="DefaultParagraphFont"/>
    <w:link w:val="Heading1"/>
    <w:rsid w:val="003D1E71"/>
    <w:rPr>
      <w:rFonts w:ascii="Times New Roman" w:eastAsia="Times New Roman" w:hAnsi="Times New Roman" w:cs="Times New Roman"/>
      <w:b/>
      <w:sz w:val="32"/>
      <w:szCs w:val="20"/>
      <w:lang w:eastAsia="en-US"/>
    </w:rPr>
  </w:style>
  <w:style w:type="paragraph" w:styleId="BodyText">
    <w:name w:val="Body Text"/>
    <w:basedOn w:val="Normal"/>
    <w:link w:val="BodyTextChar"/>
    <w:rsid w:val="003D1E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1E71"/>
    <w:rPr>
      <w:rFonts w:ascii="Times New Roman" w:eastAsia="Times New Roman" w:hAnsi="Times New Roman" w:cs="Times New Roman"/>
      <w:sz w:val="24"/>
      <w:lang w:eastAsia="en-US"/>
    </w:rPr>
  </w:style>
  <w:style w:type="character" w:customStyle="1" w:styleId="SpecialBold">
    <w:name w:val="Special Bold"/>
    <w:basedOn w:val="DefaultParagraphFont"/>
    <w:rsid w:val="003D1E71"/>
    <w:rPr>
      <w:b/>
      <w:spacing w:val="0"/>
    </w:rPr>
  </w:style>
  <w:style w:type="paragraph" w:customStyle="1" w:styleId="SuperHeading">
    <w:name w:val="SuperHeading"/>
    <w:basedOn w:val="Normal"/>
    <w:rsid w:val="003D1E71"/>
    <w:pPr>
      <w:spacing w:before="240" w:after="120"/>
      <w:outlineLvl w:val="0"/>
    </w:pPr>
    <w:rPr>
      <w:rFonts w:ascii="Times New Roman" w:hAnsi="Times New Roman"/>
      <w:b/>
      <w:sz w:val="32"/>
    </w:rPr>
  </w:style>
  <w:style w:type="paragraph" w:customStyle="1" w:styleId="AllowPageBreak">
    <w:name w:val="AllowPageBreak"/>
    <w:rsid w:val="003D1E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1E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E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E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E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E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E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E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E71"/>
    <w:rPr>
      <w:rFonts w:ascii="Courier New" w:eastAsia="Times New Roman" w:hAnsi="Courier New" w:cs="Times New Roman"/>
      <w:i/>
      <w:szCs w:val="20"/>
      <w:lang w:eastAsia="en-US"/>
    </w:rPr>
  </w:style>
  <w:style w:type="paragraph" w:customStyle="1" w:styleId="HeadingBase">
    <w:name w:val="Heading Base"/>
    <w:rsid w:val="003D1E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E71"/>
    <w:pPr>
      <w:tabs>
        <w:tab w:val="right" w:leader="dot" w:pos="9072"/>
      </w:tabs>
      <w:ind w:left="567"/>
    </w:pPr>
    <w:rPr>
      <w:szCs w:val="22"/>
    </w:rPr>
  </w:style>
  <w:style w:type="paragraph" w:customStyle="1" w:styleId="TOCBase">
    <w:name w:val="TOC Base"/>
    <w:rsid w:val="003D1E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E71"/>
    <w:pPr>
      <w:tabs>
        <w:tab w:val="right" w:leader="dot" w:pos="9072"/>
      </w:tabs>
      <w:spacing w:before="40" w:after="40"/>
      <w:ind w:left="284"/>
    </w:pPr>
    <w:rPr>
      <w:rFonts w:ascii="Times New Roman" w:hAnsi="Times New Roman"/>
    </w:rPr>
  </w:style>
  <w:style w:type="paragraph" w:styleId="TOC1">
    <w:name w:val="toc 1"/>
    <w:basedOn w:val="TOCBase"/>
    <w:next w:val="Normal"/>
    <w:rsid w:val="003D1E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1E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E71"/>
    <w:rPr>
      <w:rFonts w:ascii="Times New Roman" w:eastAsia="Times New Roman" w:hAnsi="Times New Roman" w:cs="Times New Roman"/>
      <w:sz w:val="16"/>
      <w:lang w:eastAsia="en-US"/>
    </w:rPr>
  </w:style>
  <w:style w:type="paragraph" w:styleId="Title">
    <w:name w:val="Title"/>
    <w:basedOn w:val="HeadingBase"/>
    <w:link w:val="TitleChar"/>
    <w:qFormat/>
    <w:rsid w:val="003D1E71"/>
    <w:pPr>
      <w:spacing w:before="5040"/>
      <w:jc w:val="center"/>
    </w:pPr>
    <w:rPr>
      <w:sz w:val="48"/>
      <w:szCs w:val="72"/>
      <w:lang w:val="en-US"/>
    </w:rPr>
  </w:style>
  <w:style w:type="character" w:customStyle="1" w:styleId="TitleChar">
    <w:name w:val="Title Char"/>
    <w:basedOn w:val="DefaultParagraphFont"/>
    <w:link w:val="Title"/>
    <w:rsid w:val="003D1E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E71"/>
    <w:pPr>
      <w:tabs>
        <w:tab w:val="left" w:pos="3600"/>
        <w:tab w:val="left" w:pos="3958"/>
      </w:tabs>
    </w:pPr>
  </w:style>
  <w:style w:type="paragraph" w:styleId="List">
    <w:name w:val="List"/>
    <w:basedOn w:val="BodyText"/>
    <w:next w:val="BodyText"/>
    <w:rsid w:val="003D1E71"/>
    <w:pPr>
      <w:tabs>
        <w:tab w:val="left" w:pos="340"/>
      </w:tabs>
      <w:spacing w:before="60" w:after="60"/>
      <w:ind w:left="340" w:hanging="340"/>
    </w:pPr>
  </w:style>
  <w:style w:type="paragraph" w:styleId="ListBullet">
    <w:name w:val="List Bullet"/>
    <w:basedOn w:val="List"/>
    <w:rsid w:val="003D1E71"/>
    <w:pPr>
      <w:numPr>
        <w:numId w:val="10"/>
      </w:numPr>
      <w:tabs>
        <w:tab w:val="clear" w:pos="340"/>
      </w:tabs>
      <w:spacing w:before="40" w:after="40"/>
    </w:pPr>
  </w:style>
  <w:style w:type="paragraph" w:customStyle="1" w:styleId="Note">
    <w:name w:val="Note"/>
    <w:basedOn w:val="BodyText"/>
    <w:rsid w:val="003D1E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E71"/>
    <w:pPr>
      <w:framePr w:wrap="auto" w:hAnchor="text" w:y="6049"/>
    </w:pPr>
    <w:rPr>
      <w:color w:val="000000"/>
      <w:sz w:val="40"/>
    </w:rPr>
  </w:style>
  <w:style w:type="paragraph" w:customStyle="1" w:styleId="TOCTitle">
    <w:name w:val="TOCTitle"/>
    <w:basedOn w:val="Heading1"/>
    <w:rsid w:val="003D1E71"/>
    <w:pPr>
      <w:spacing w:after="240"/>
      <w:jc w:val="center"/>
      <w:outlineLvl w:val="9"/>
    </w:pPr>
    <w:rPr>
      <w:caps/>
    </w:rPr>
  </w:style>
  <w:style w:type="paragraph" w:customStyle="1" w:styleId="Version">
    <w:name w:val="Version"/>
    <w:rsid w:val="003D1E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1E71"/>
    <w:pPr>
      <w:numPr>
        <w:numId w:val="11"/>
      </w:numPr>
      <w:tabs>
        <w:tab w:val="clear" w:pos="680"/>
      </w:tabs>
    </w:pPr>
  </w:style>
  <w:style w:type="paragraph" w:styleId="Index1">
    <w:name w:val="index 1"/>
    <w:basedOn w:val="Normal"/>
    <w:next w:val="Normal"/>
    <w:semiHidden/>
    <w:rsid w:val="003D1E71"/>
    <w:pPr>
      <w:keepNext w:val="0"/>
      <w:tabs>
        <w:tab w:val="right" w:pos="4176"/>
      </w:tabs>
      <w:ind w:left="198" w:hanging="198"/>
    </w:pPr>
    <w:rPr>
      <w:rFonts w:ascii="Garamond" w:hAnsi="Garamond"/>
    </w:rPr>
  </w:style>
  <w:style w:type="paragraph" w:styleId="IndexHeading">
    <w:name w:val="index heading"/>
    <w:basedOn w:val="Normal"/>
    <w:next w:val="Index1"/>
    <w:semiHidden/>
    <w:rsid w:val="003D1E71"/>
    <w:pPr>
      <w:spacing w:before="120" w:after="120"/>
    </w:pPr>
    <w:rPr>
      <w:rFonts w:ascii="Arial" w:hAnsi="Arial"/>
      <w:b/>
      <w:color w:val="918585"/>
      <w:sz w:val="24"/>
    </w:rPr>
  </w:style>
  <w:style w:type="paragraph" w:styleId="Header">
    <w:name w:val="header"/>
    <w:basedOn w:val="Normal"/>
    <w:link w:val="HeaderChar"/>
    <w:rsid w:val="003D1E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E71"/>
    <w:rPr>
      <w:rFonts w:ascii="Times New Roman" w:eastAsia="Times New Roman" w:hAnsi="Times New Roman" w:cs="Times New Roman"/>
      <w:sz w:val="16"/>
      <w:szCs w:val="20"/>
      <w:lang w:val="en-GB" w:eastAsia="en-US"/>
    </w:rPr>
  </w:style>
  <w:style w:type="paragraph" w:customStyle="1" w:styleId="Chapter">
    <w:name w:val="Chapter"/>
    <w:basedOn w:val="Normal"/>
    <w:rsid w:val="003D1E71"/>
    <w:pPr>
      <w:spacing w:before="240"/>
    </w:pPr>
    <w:rPr>
      <w:rFonts w:ascii="Times New Roman" w:hAnsi="Times New Roman"/>
      <w:smallCaps/>
      <w:spacing w:val="80"/>
      <w:sz w:val="28"/>
    </w:rPr>
  </w:style>
  <w:style w:type="paragraph" w:customStyle="1" w:styleId="InChapter">
    <w:name w:val="InChapter"/>
    <w:basedOn w:val="Heading3"/>
    <w:rsid w:val="003D1E71"/>
    <w:pPr>
      <w:spacing w:after="240"/>
      <w:outlineLvl w:val="9"/>
    </w:pPr>
    <w:rPr>
      <w:noProof/>
    </w:rPr>
  </w:style>
  <w:style w:type="paragraph" w:styleId="Index2">
    <w:name w:val="index 2"/>
    <w:basedOn w:val="Normal"/>
    <w:next w:val="Normal"/>
    <w:semiHidden/>
    <w:rsid w:val="003D1E71"/>
    <w:pPr>
      <w:tabs>
        <w:tab w:val="right" w:pos="4176"/>
      </w:tabs>
      <w:ind w:left="568" w:hanging="284"/>
    </w:pPr>
    <w:rPr>
      <w:rFonts w:ascii="Garamond" w:hAnsi="Garamond"/>
    </w:rPr>
  </w:style>
  <w:style w:type="paragraph" w:customStyle="1" w:styleId="Byline">
    <w:name w:val="Byline"/>
    <w:rsid w:val="003D1E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E71"/>
    <w:pPr>
      <w:tabs>
        <w:tab w:val="clear" w:pos="3600"/>
        <w:tab w:val="clear" w:pos="3958"/>
      </w:tabs>
      <w:jc w:val="right"/>
    </w:pPr>
  </w:style>
  <w:style w:type="character" w:styleId="Emphasis">
    <w:name w:val="Emphasis"/>
    <w:basedOn w:val="DefaultParagraphFont"/>
    <w:qFormat/>
    <w:rsid w:val="003D1E71"/>
    <w:rPr>
      <w:i/>
    </w:rPr>
  </w:style>
  <w:style w:type="paragraph" w:styleId="Caption">
    <w:name w:val="caption"/>
    <w:basedOn w:val="BodyText"/>
    <w:next w:val="Normal"/>
    <w:qFormat/>
    <w:rsid w:val="003D1E71"/>
    <w:pPr>
      <w:framePr w:w="2268" w:hSpace="181" w:vSpace="181" w:wrap="around" w:vAnchor="text" w:hAnchor="page" w:x="1135" w:y="285" w:anchorLock="1"/>
    </w:pPr>
    <w:rPr>
      <w:i/>
    </w:rPr>
  </w:style>
  <w:style w:type="paragraph" w:customStyle="1" w:styleId="MiniTOCTitle">
    <w:name w:val="MiniTOCTitle"/>
    <w:basedOn w:val="Heading4"/>
    <w:rsid w:val="003D1E71"/>
    <w:pPr>
      <w:spacing w:before="240"/>
      <w:outlineLvl w:val="9"/>
    </w:pPr>
    <w:rPr>
      <w:noProof/>
      <w:sz w:val="24"/>
    </w:rPr>
  </w:style>
  <w:style w:type="paragraph" w:customStyle="1" w:styleId="MiniTOCItem">
    <w:name w:val="MiniTOCItem"/>
    <w:basedOn w:val="ListBullet"/>
    <w:rsid w:val="003D1E71"/>
    <w:pPr>
      <w:numPr>
        <w:numId w:val="0"/>
      </w:numPr>
      <w:tabs>
        <w:tab w:val="right" w:leader="dot" w:pos="6521"/>
      </w:tabs>
      <w:spacing w:before="0" w:after="0"/>
    </w:pPr>
  </w:style>
  <w:style w:type="paragraph" w:customStyle="1" w:styleId="TOFTitle">
    <w:name w:val="TOFTitle"/>
    <w:basedOn w:val="TOCTitle"/>
    <w:rsid w:val="003D1E71"/>
  </w:style>
  <w:style w:type="paragraph" w:styleId="TableofFigures">
    <w:name w:val="table of figures"/>
    <w:basedOn w:val="Normal"/>
    <w:next w:val="Normal"/>
    <w:semiHidden/>
    <w:rsid w:val="003D1E71"/>
    <w:pPr>
      <w:tabs>
        <w:tab w:val="right" w:leader="dot" w:pos="9072"/>
      </w:tabs>
      <w:ind w:left="970" w:hanging="403"/>
    </w:pPr>
    <w:rPr>
      <w:rFonts w:ascii="Times New Roman" w:hAnsi="Times New Roman"/>
      <w:b/>
    </w:rPr>
  </w:style>
  <w:style w:type="paragraph" w:styleId="ListNumber">
    <w:name w:val="List Number"/>
    <w:basedOn w:val="List"/>
    <w:rsid w:val="003D1E71"/>
    <w:pPr>
      <w:numPr>
        <w:numId w:val="13"/>
      </w:numPr>
      <w:tabs>
        <w:tab w:val="clear" w:pos="340"/>
      </w:tabs>
    </w:pPr>
  </w:style>
  <w:style w:type="character" w:customStyle="1" w:styleId="WingdingSymbols">
    <w:name w:val="Wingding Symbols"/>
    <w:rsid w:val="003D1E71"/>
    <w:rPr>
      <w:rFonts w:ascii="Wingdings" w:hAnsi="Wingdings"/>
    </w:rPr>
  </w:style>
  <w:style w:type="paragraph" w:customStyle="1" w:styleId="TableHeading">
    <w:name w:val="Table Heading"/>
    <w:basedOn w:val="HeadingBase"/>
    <w:rsid w:val="003D1E71"/>
    <w:pPr>
      <w:keepLines/>
      <w:pBdr>
        <w:bottom w:val="single" w:sz="6" w:space="1" w:color="918585"/>
      </w:pBdr>
      <w:spacing w:before="240"/>
    </w:pPr>
  </w:style>
  <w:style w:type="character" w:customStyle="1" w:styleId="HotSpot">
    <w:name w:val="HotSpot"/>
    <w:rsid w:val="003D1E71"/>
    <w:rPr>
      <w:color w:val="0033CC"/>
      <w:u w:val="none"/>
    </w:rPr>
  </w:style>
  <w:style w:type="paragraph" w:customStyle="1" w:styleId="BodyTextRight">
    <w:name w:val="Body Text Right"/>
    <w:basedOn w:val="BodyText"/>
    <w:rsid w:val="003D1E71"/>
    <w:pPr>
      <w:spacing w:before="0" w:after="0"/>
      <w:jc w:val="right"/>
    </w:pPr>
  </w:style>
  <w:style w:type="paragraph" w:styleId="Index3">
    <w:name w:val="index 3"/>
    <w:basedOn w:val="ListNumber2"/>
    <w:next w:val="Normal"/>
    <w:semiHidden/>
    <w:rsid w:val="003D1E71"/>
    <w:pPr>
      <w:numPr>
        <w:numId w:val="0"/>
      </w:numPr>
      <w:tabs>
        <w:tab w:val="right" w:leader="dot" w:pos="4176"/>
      </w:tabs>
    </w:pPr>
  </w:style>
  <w:style w:type="paragraph" w:styleId="ListNumber2">
    <w:name w:val="List Number 2"/>
    <w:basedOn w:val="List2"/>
    <w:rsid w:val="003D1E71"/>
    <w:pPr>
      <w:numPr>
        <w:numId w:val="8"/>
      </w:numPr>
      <w:tabs>
        <w:tab w:val="clear" w:pos="1060"/>
      </w:tabs>
    </w:pPr>
  </w:style>
  <w:style w:type="paragraph" w:customStyle="1" w:styleId="MarginNote">
    <w:name w:val="Margin Note"/>
    <w:basedOn w:val="BodyText"/>
    <w:rsid w:val="003D1E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E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E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E71"/>
    <w:rPr>
      <w:sz w:val="32"/>
    </w:rPr>
  </w:style>
  <w:style w:type="paragraph" w:customStyle="1" w:styleId="HeadingProcedure">
    <w:name w:val="Heading Procedure"/>
    <w:basedOn w:val="HeadingBase"/>
    <w:next w:val="Normal"/>
    <w:rsid w:val="003D1E71"/>
    <w:pPr>
      <w:tabs>
        <w:tab w:val="left" w:pos="0"/>
      </w:tabs>
      <w:spacing w:before="120" w:after="60"/>
    </w:pPr>
    <w:rPr>
      <w:i/>
      <w:color w:val="918585"/>
      <w:sz w:val="22"/>
    </w:rPr>
  </w:style>
  <w:style w:type="paragraph" w:customStyle="1" w:styleId="TableBodyText">
    <w:name w:val="Table Body Text"/>
    <w:basedOn w:val="BodyText"/>
    <w:rsid w:val="003D1E71"/>
    <w:pPr>
      <w:spacing w:before="60" w:after="60"/>
    </w:pPr>
  </w:style>
  <w:style w:type="paragraph" w:styleId="ListContinue">
    <w:name w:val="List Continue"/>
    <w:basedOn w:val="List"/>
    <w:rsid w:val="003D1E71"/>
    <w:pPr>
      <w:ind w:firstLine="0"/>
    </w:pPr>
  </w:style>
  <w:style w:type="paragraph" w:customStyle="1" w:styleId="ListNote">
    <w:name w:val="List Note"/>
    <w:basedOn w:val="List"/>
    <w:rsid w:val="003D1E71"/>
    <w:pPr>
      <w:pBdr>
        <w:top w:val="single" w:sz="6" w:space="2" w:color="918585"/>
        <w:bottom w:val="single" w:sz="6" w:space="2" w:color="918585"/>
      </w:pBdr>
      <w:tabs>
        <w:tab w:val="left" w:pos="1021"/>
      </w:tabs>
      <w:ind w:firstLine="0"/>
    </w:pPr>
  </w:style>
  <w:style w:type="paragraph" w:customStyle="1" w:styleId="Warning">
    <w:name w:val="Warning"/>
    <w:basedOn w:val="BodyText"/>
    <w:rsid w:val="003D1E71"/>
    <w:pPr>
      <w:shd w:val="clear" w:color="auto" w:fill="D9D9D9"/>
      <w:tabs>
        <w:tab w:val="left" w:pos="992"/>
      </w:tabs>
      <w:ind w:left="119" w:right="119"/>
    </w:pPr>
    <w:rPr>
      <w:sz w:val="20"/>
    </w:rPr>
  </w:style>
  <w:style w:type="paragraph" w:customStyle="1" w:styleId="MarginIcons">
    <w:name w:val="Margin Icons"/>
    <w:basedOn w:val="BodyText"/>
    <w:rsid w:val="003D1E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E71"/>
    <w:rPr>
      <w:rFonts w:ascii="Courier New" w:hAnsi="Courier New"/>
    </w:rPr>
  </w:style>
  <w:style w:type="paragraph" w:customStyle="1" w:styleId="NoteBullet">
    <w:name w:val="Note Bullet"/>
    <w:basedOn w:val="Note"/>
    <w:rsid w:val="003D1E71"/>
    <w:pPr>
      <w:tabs>
        <w:tab w:val="clear" w:pos="680"/>
      </w:tabs>
      <w:spacing w:before="60" w:after="60"/>
    </w:pPr>
  </w:style>
  <w:style w:type="paragraph" w:customStyle="1" w:styleId="SubHeading2">
    <w:name w:val="SubHeading2"/>
    <w:basedOn w:val="HeadingBase"/>
    <w:rsid w:val="003D1E71"/>
    <w:pPr>
      <w:spacing w:before="240" w:after="60"/>
    </w:pPr>
    <w:rPr>
      <w:sz w:val="20"/>
    </w:rPr>
  </w:style>
  <w:style w:type="paragraph" w:customStyle="1" w:styleId="SubHeading1">
    <w:name w:val="SubHeading1"/>
    <w:basedOn w:val="HeadingBase"/>
    <w:rsid w:val="003D1E71"/>
    <w:pPr>
      <w:spacing w:before="240" w:after="60"/>
    </w:pPr>
    <w:rPr>
      <w:color w:val="918585"/>
      <w:sz w:val="22"/>
    </w:rPr>
  </w:style>
  <w:style w:type="paragraph" w:customStyle="1" w:styleId="SideHeading">
    <w:name w:val="Side Heading"/>
    <w:basedOn w:val="HeadingBase"/>
    <w:rsid w:val="003D1E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E71"/>
    <w:pPr>
      <w:numPr>
        <w:numId w:val="9"/>
      </w:numPr>
    </w:pPr>
  </w:style>
  <w:style w:type="paragraph" w:styleId="PlainText">
    <w:name w:val="Plain Text"/>
    <w:basedOn w:val="Normal"/>
    <w:link w:val="PlainTextChar"/>
    <w:rsid w:val="003D1E71"/>
    <w:rPr>
      <w:sz w:val="20"/>
    </w:rPr>
  </w:style>
  <w:style w:type="character" w:customStyle="1" w:styleId="PlainTextChar">
    <w:name w:val="Plain Text Char"/>
    <w:basedOn w:val="DefaultParagraphFont"/>
    <w:link w:val="PlainText"/>
    <w:rsid w:val="003D1E71"/>
    <w:rPr>
      <w:rFonts w:ascii="Courier New" w:eastAsia="Times New Roman" w:hAnsi="Courier New" w:cs="Times New Roman"/>
      <w:sz w:val="20"/>
      <w:szCs w:val="20"/>
      <w:lang w:eastAsia="en-US"/>
    </w:rPr>
  </w:style>
  <w:style w:type="character" w:customStyle="1" w:styleId="MenuOption">
    <w:name w:val="Menu Option"/>
    <w:basedOn w:val="DefaultParagraphFont"/>
    <w:rsid w:val="003D1E71"/>
    <w:rPr>
      <w:b/>
      <w:smallCaps/>
    </w:rPr>
  </w:style>
  <w:style w:type="paragraph" w:customStyle="1" w:styleId="TableListNumber">
    <w:name w:val="Table List Number"/>
    <w:basedOn w:val="ListNumber"/>
    <w:rsid w:val="003D1E71"/>
    <w:pPr>
      <w:numPr>
        <w:numId w:val="0"/>
      </w:numPr>
    </w:pPr>
  </w:style>
  <w:style w:type="paragraph" w:styleId="TOC4">
    <w:name w:val="toc 4"/>
    <w:basedOn w:val="TOCBase"/>
    <w:next w:val="Normal"/>
    <w:semiHidden/>
    <w:rsid w:val="003D1E71"/>
    <w:pPr>
      <w:tabs>
        <w:tab w:val="right" w:leader="dot" w:pos="9071"/>
      </w:tabs>
      <w:ind w:left="1701"/>
    </w:pPr>
  </w:style>
  <w:style w:type="paragraph" w:customStyle="1" w:styleId="ListAlpha">
    <w:name w:val="List Alpha"/>
    <w:basedOn w:val="List"/>
    <w:rsid w:val="003D1E71"/>
    <w:pPr>
      <w:numPr>
        <w:numId w:val="7"/>
      </w:numPr>
    </w:pPr>
  </w:style>
  <w:style w:type="paragraph" w:customStyle="1" w:styleId="ListAlpha2">
    <w:name w:val="List Alpha 2"/>
    <w:basedOn w:val="List2"/>
    <w:rsid w:val="003D1E71"/>
    <w:pPr>
      <w:numPr>
        <w:numId w:val="6"/>
      </w:numPr>
    </w:pPr>
  </w:style>
  <w:style w:type="paragraph" w:styleId="List2">
    <w:name w:val="List 2"/>
    <w:basedOn w:val="BodyText"/>
    <w:rsid w:val="003D1E71"/>
    <w:pPr>
      <w:tabs>
        <w:tab w:val="left" w:pos="680"/>
      </w:tabs>
      <w:spacing w:before="60" w:after="60"/>
      <w:ind w:left="680" w:hanging="340"/>
    </w:pPr>
  </w:style>
  <w:style w:type="paragraph" w:styleId="List3">
    <w:name w:val="List 3"/>
    <w:basedOn w:val="BodyText"/>
    <w:rsid w:val="003D1E71"/>
    <w:pPr>
      <w:tabs>
        <w:tab w:val="left" w:pos="1021"/>
      </w:tabs>
      <w:spacing w:before="60" w:after="60"/>
      <w:ind w:left="1020" w:hanging="340"/>
    </w:pPr>
  </w:style>
  <w:style w:type="paragraph" w:styleId="List4">
    <w:name w:val="List 4"/>
    <w:basedOn w:val="BodyText"/>
    <w:rsid w:val="003D1E71"/>
    <w:pPr>
      <w:tabs>
        <w:tab w:val="left" w:pos="1361"/>
      </w:tabs>
      <w:spacing w:before="60" w:after="60"/>
      <w:ind w:left="1361" w:hanging="340"/>
    </w:pPr>
  </w:style>
  <w:style w:type="paragraph" w:styleId="List5">
    <w:name w:val="List 5"/>
    <w:basedOn w:val="BodyText"/>
    <w:rsid w:val="003D1E71"/>
    <w:pPr>
      <w:tabs>
        <w:tab w:val="left" w:pos="1701"/>
      </w:tabs>
      <w:spacing w:before="60" w:after="60"/>
      <w:ind w:left="1701" w:hanging="340"/>
    </w:pPr>
  </w:style>
  <w:style w:type="paragraph" w:styleId="ListBullet3">
    <w:name w:val="List Bullet 3"/>
    <w:basedOn w:val="List3"/>
    <w:rsid w:val="003D1E71"/>
    <w:pPr>
      <w:numPr>
        <w:numId w:val="12"/>
      </w:numPr>
      <w:tabs>
        <w:tab w:val="clear" w:pos="1021"/>
      </w:tabs>
      <w:ind w:left="1037" w:hanging="357"/>
    </w:pPr>
  </w:style>
  <w:style w:type="paragraph" w:styleId="ListBullet4">
    <w:name w:val="List Bullet 4"/>
    <w:basedOn w:val="List4"/>
    <w:rsid w:val="003D1E71"/>
    <w:pPr>
      <w:numPr>
        <w:numId w:val="1"/>
      </w:numPr>
      <w:tabs>
        <w:tab w:val="clear" w:pos="1361"/>
      </w:tabs>
    </w:pPr>
  </w:style>
  <w:style w:type="paragraph" w:styleId="ListBullet5">
    <w:name w:val="List Bullet 5"/>
    <w:basedOn w:val="List5"/>
    <w:rsid w:val="003D1E71"/>
    <w:pPr>
      <w:numPr>
        <w:numId w:val="2"/>
      </w:numPr>
    </w:pPr>
  </w:style>
  <w:style w:type="paragraph" w:styleId="ListContinue2">
    <w:name w:val="List Continue 2"/>
    <w:basedOn w:val="List2"/>
    <w:rsid w:val="003D1E71"/>
    <w:pPr>
      <w:ind w:firstLine="0"/>
    </w:pPr>
  </w:style>
  <w:style w:type="paragraph" w:styleId="ListContinue3">
    <w:name w:val="List Continue 3"/>
    <w:basedOn w:val="List3"/>
    <w:rsid w:val="003D1E71"/>
    <w:pPr>
      <w:ind w:left="1021" w:firstLine="0"/>
    </w:pPr>
  </w:style>
  <w:style w:type="paragraph" w:styleId="ListContinue4">
    <w:name w:val="List Continue 4"/>
    <w:basedOn w:val="List4"/>
    <w:rsid w:val="003D1E71"/>
    <w:pPr>
      <w:ind w:firstLine="0"/>
    </w:pPr>
  </w:style>
  <w:style w:type="paragraph" w:styleId="ListContinue5">
    <w:name w:val="List Continue 5"/>
    <w:basedOn w:val="List5"/>
    <w:rsid w:val="003D1E71"/>
    <w:pPr>
      <w:ind w:firstLine="0"/>
    </w:pPr>
  </w:style>
  <w:style w:type="paragraph" w:styleId="ListNumber3">
    <w:name w:val="List Number 3"/>
    <w:basedOn w:val="List3"/>
    <w:rsid w:val="003D1E71"/>
    <w:pPr>
      <w:numPr>
        <w:numId w:val="3"/>
      </w:numPr>
    </w:pPr>
  </w:style>
  <w:style w:type="paragraph" w:styleId="ListNumber4">
    <w:name w:val="List Number 4"/>
    <w:basedOn w:val="List4"/>
    <w:rsid w:val="003D1E71"/>
    <w:pPr>
      <w:numPr>
        <w:numId w:val="4"/>
      </w:numPr>
    </w:pPr>
  </w:style>
  <w:style w:type="paragraph" w:styleId="ListNumber5">
    <w:name w:val="List Number 5"/>
    <w:basedOn w:val="List5"/>
    <w:rsid w:val="003D1E71"/>
    <w:pPr>
      <w:numPr>
        <w:numId w:val="5"/>
      </w:numPr>
    </w:pPr>
  </w:style>
  <w:style w:type="paragraph" w:styleId="BlockText">
    <w:name w:val="Block Text"/>
    <w:basedOn w:val="Normal"/>
    <w:rsid w:val="003D1E71"/>
    <w:pPr>
      <w:spacing w:after="120"/>
      <w:ind w:left="1440" w:right="1440"/>
    </w:pPr>
  </w:style>
  <w:style w:type="character" w:customStyle="1" w:styleId="Subscript">
    <w:name w:val="Subscript"/>
    <w:basedOn w:val="DefaultParagraphFont"/>
    <w:rsid w:val="003D1E71"/>
    <w:rPr>
      <w:sz w:val="16"/>
      <w:vertAlign w:val="subscript"/>
    </w:rPr>
  </w:style>
  <w:style w:type="character" w:customStyle="1" w:styleId="Superscript">
    <w:name w:val="Superscript"/>
    <w:basedOn w:val="DefaultParagraphFont"/>
    <w:rsid w:val="003D1E71"/>
    <w:rPr>
      <w:sz w:val="16"/>
      <w:vertAlign w:val="superscript"/>
    </w:rPr>
  </w:style>
  <w:style w:type="character" w:customStyle="1" w:styleId="Symbols">
    <w:name w:val="Symbols"/>
    <w:basedOn w:val="DefaultParagraphFont"/>
    <w:rsid w:val="003D1E71"/>
    <w:rPr>
      <w:rFonts w:ascii="Symbol" w:hAnsi="Symbol"/>
    </w:rPr>
  </w:style>
  <w:style w:type="character" w:customStyle="1" w:styleId="MenuOptions">
    <w:name w:val="Menu Options"/>
    <w:basedOn w:val="DefaultParagraphFont"/>
    <w:rsid w:val="003D1E71"/>
    <w:rPr>
      <w:rFonts w:ascii="Arial Narrow" w:hAnsi="Arial Narrow"/>
      <w:smallCaps/>
    </w:rPr>
  </w:style>
  <w:style w:type="character" w:customStyle="1" w:styleId="Buttons">
    <w:name w:val="Buttons"/>
    <w:basedOn w:val="DefaultParagraphFont"/>
    <w:rsid w:val="003D1E71"/>
    <w:rPr>
      <w:b/>
    </w:rPr>
  </w:style>
  <w:style w:type="character" w:customStyle="1" w:styleId="Underlined">
    <w:name w:val="Underlined"/>
    <w:basedOn w:val="DefaultParagraphFont"/>
    <w:rsid w:val="003D1E71"/>
    <w:rPr>
      <w:u w:val="single"/>
    </w:rPr>
  </w:style>
  <w:style w:type="paragraph" w:customStyle="1" w:styleId="TableBodyTextRight">
    <w:name w:val="Table Body Text Right"/>
    <w:basedOn w:val="TableBodyText"/>
    <w:rsid w:val="003D1E71"/>
    <w:pPr>
      <w:widowControl w:val="0"/>
      <w:autoSpaceDE w:val="0"/>
      <w:autoSpaceDN w:val="0"/>
      <w:adjustRightInd w:val="0"/>
      <w:jc w:val="right"/>
    </w:pPr>
    <w:rPr>
      <w:rFonts w:cs="Arial"/>
      <w:szCs w:val="18"/>
    </w:rPr>
  </w:style>
  <w:style w:type="paragraph" w:customStyle="1" w:styleId="CopyrightText">
    <w:name w:val="Copyright Text"/>
    <w:basedOn w:val="BodyText"/>
    <w:rsid w:val="003D1E71"/>
    <w:rPr>
      <w:sz w:val="18"/>
    </w:rPr>
  </w:style>
  <w:style w:type="paragraph" w:customStyle="1" w:styleId="BodySmallRight">
    <w:name w:val="Body Small Right"/>
    <w:basedOn w:val="BodyTextRight"/>
    <w:rsid w:val="003D1E71"/>
    <w:rPr>
      <w:sz w:val="18"/>
      <w:szCs w:val="18"/>
    </w:rPr>
  </w:style>
  <w:style w:type="paragraph" w:customStyle="1" w:styleId="MarginEdition">
    <w:name w:val="Margin Edition"/>
    <w:basedOn w:val="MarginNote"/>
    <w:rsid w:val="003D1E71"/>
    <w:pPr>
      <w:spacing w:before="0" w:after="0"/>
    </w:pPr>
    <w:rPr>
      <w:rFonts w:ascii="Times New Roman" w:hAnsi="Times New Roman"/>
      <w:color w:val="999999"/>
    </w:rPr>
  </w:style>
  <w:style w:type="paragraph" w:customStyle="1" w:styleId="Spacer">
    <w:name w:val="Spacer"/>
    <w:basedOn w:val="Normal"/>
    <w:rsid w:val="003D1E71"/>
    <w:rPr>
      <w:sz w:val="2"/>
      <w:szCs w:val="2"/>
    </w:rPr>
  </w:style>
  <w:style w:type="character" w:customStyle="1" w:styleId="Small">
    <w:name w:val="Small"/>
    <w:basedOn w:val="DefaultParagraphFont"/>
    <w:rsid w:val="003D1E71"/>
    <w:rPr>
      <w:sz w:val="16"/>
    </w:rPr>
  </w:style>
  <w:style w:type="paragraph" w:customStyle="1" w:styleId="WideTable">
    <w:name w:val="Wide Table"/>
    <w:basedOn w:val="Normal"/>
    <w:rsid w:val="003D1E71"/>
    <w:pPr>
      <w:ind w:left="-1418"/>
    </w:pPr>
    <w:rPr>
      <w:sz w:val="2"/>
      <w:szCs w:val="2"/>
    </w:rPr>
  </w:style>
  <w:style w:type="character" w:styleId="PageNumber">
    <w:name w:val="page number"/>
    <w:basedOn w:val="DefaultParagraphFont"/>
    <w:rsid w:val="003D1E71"/>
  </w:style>
  <w:style w:type="paragraph" w:styleId="Quote">
    <w:name w:val="Quote"/>
    <w:basedOn w:val="Heading1"/>
    <w:link w:val="QuoteChar"/>
    <w:qFormat/>
    <w:rsid w:val="003D1E71"/>
    <w:rPr>
      <w:b w:val="0"/>
      <w:sz w:val="72"/>
      <w:szCs w:val="72"/>
      <w:lang w:val="en-NZ"/>
    </w:rPr>
  </w:style>
  <w:style w:type="character" w:customStyle="1" w:styleId="QuoteChar">
    <w:name w:val="Quote Char"/>
    <w:basedOn w:val="DefaultParagraphFont"/>
    <w:link w:val="Quote"/>
    <w:rsid w:val="003D1E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E71"/>
    <w:pPr>
      <w:pageBreakBefore/>
    </w:pPr>
  </w:style>
  <w:style w:type="paragraph" w:customStyle="1" w:styleId="Border">
    <w:name w:val="Border"/>
    <w:basedOn w:val="Normal"/>
    <w:qFormat/>
    <w:rsid w:val="003D1E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E71"/>
    <w:rPr>
      <w:b/>
      <w:bCs/>
      <w:i/>
      <w:iCs/>
      <w:color w:val="auto"/>
    </w:rPr>
  </w:style>
  <w:style w:type="paragraph" w:styleId="IntenseQuote">
    <w:name w:val="Intense Quote"/>
    <w:basedOn w:val="Normal"/>
    <w:next w:val="Normal"/>
    <w:link w:val="IntenseQuoteChar"/>
    <w:uiPriority w:val="30"/>
    <w:qFormat/>
    <w:rsid w:val="003D1E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E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E71"/>
    <w:rPr>
      <w:smallCaps/>
      <w:color w:val="auto"/>
      <w:u w:val="single"/>
    </w:rPr>
  </w:style>
  <w:style w:type="character" w:styleId="IntenseReference">
    <w:name w:val="Intense Reference"/>
    <w:basedOn w:val="DefaultParagraphFont"/>
    <w:uiPriority w:val="32"/>
    <w:qFormat/>
    <w:rsid w:val="003D1E71"/>
    <w:rPr>
      <w:b/>
      <w:bCs/>
      <w:smallCaps/>
      <w:color w:val="auto"/>
      <w:spacing w:val="5"/>
      <w:u w:val="single"/>
    </w:rPr>
  </w:style>
  <w:style w:type="paragraph" w:customStyle="1" w:styleId="2ColumnHeading">
    <w:name w:val="2Column Heading"/>
    <w:basedOn w:val="BodyText"/>
    <w:qFormat/>
    <w:rsid w:val="003D1E71"/>
    <w:pPr>
      <w:spacing w:after="60"/>
      <w:ind w:left="-2268"/>
    </w:pPr>
    <w:rPr>
      <w:b/>
    </w:rPr>
  </w:style>
  <w:style w:type="paragraph" w:customStyle="1" w:styleId="Heading1TOC">
    <w:name w:val="Heading1 TOC"/>
    <w:basedOn w:val="Normal"/>
    <w:qFormat/>
    <w:rsid w:val="003D1E71"/>
    <w:pPr>
      <w:spacing w:before="240" w:after="120"/>
    </w:pPr>
    <w:rPr>
      <w:rFonts w:ascii="Times New Roman" w:hAnsi="Times New Roman"/>
      <w:b/>
      <w:sz w:val="32"/>
    </w:rPr>
  </w:style>
  <w:style w:type="paragraph" w:customStyle="1" w:styleId="Heading2TOC">
    <w:name w:val="Heading2 TOC"/>
    <w:basedOn w:val="Normal"/>
    <w:qFormat/>
    <w:rsid w:val="003D1E71"/>
    <w:pPr>
      <w:spacing w:before="240" w:after="60"/>
    </w:pPr>
    <w:rPr>
      <w:rFonts w:ascii="Times New Roman" w:hAnsi="Times New Roman"/>
      <w:b/>
      <w:sz w:val="28"/>
    </w:rPr>
  </w:style>
  <w:style w:type="character" w:customStyle="1" w:styleId="Underline">
    <w:name w:val="Underline"/>
    <w:basedOn w:val="DefaultParagraphFont"/>
    <w:qFormat/>
    <w:rsid w:val="003D1E71"/>
    <w:rPr>
      <w:u w:val="single"/>
    </w:rPr>
  </w:style>
  <w:style w:type="character" w:customStyle="1" w:styleId="BoldandItalics">
    <w:name w:val="Bold and Italics"/>
    <w:qFormat/>
    <w:rsid w:val="003D1E71"/>
    <w:rPr>
      <w:b/>
      <w:i/>
      <w:u w:val="none"/>
    </w:rPr>
  </w:style>
  <w:style w:type="paragraph" w:styleId="BalloonText">
    <w:name w:val="Balloon Text"/>
    <w:basedOn w:val="Normal"/>
    <w:link w:val="BalloonTextChar"/>
    <w:rsid w:val="003D1E71"/>
    <w:rPr>
      <w:rFonts w:ascii="Tahoma" w:hAnsi="Tahoma" w:cs="Tahoma"/>
      <w:sz w:val="16"/>
      <w:szCs w:val="16"/>
    </w:rPr>
  </w:style>
  <w:style w:type="character" w:customStyle="1" w:styleId="BalloonTextChar">
    <w:name w:val="Balloon Text Char"/>
    <w:basedOn w:val="DefaultParagraphFont"/>
    <w:link w:val="BalloonText"/>
    <w:rsid w:val="003D1E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E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1E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E71"/>
    <w:rPr>
      <w:b/>
      <w:color w:val="660033"/>
      <w:spacing w:val="0"/>
    </w:rPr>
  </w:style>
  <w:style w:type="paragraph" w:customStyle="1" w:styleId="Nameditemlist">
    <w:name w:val="Named item list"/>
    <w:basedOn w:val="BodyText"/>
    <w:qFormat/>
    <w:rsid w:val="003D1E71"/>
    <w:pPr>
      <w:tabs>
        <w:tab w:val="left" w:pos="2835"/>
      </w:tabs>
      <w:ind w:left="2835" w:hanging="2835"/>
    </w:pPr>
  </w:style>
  <w:style w:type="paragraph" w:customStyle="1" w:styleId="BodyTextnopadding">
    <w:name w:val="Body Text no padding"/>
    <w:basedOn w:val="BodyText"/>
    <w:qFormat/>
    <w:rsid w:val="003D1E71"/>
    <w:pPr>
      <w:spacing w:before="0" w:after="0"/>
    </w:pPr>
  </w:style>
  <w:style w:type="paragraph" w:customStyle="1" w:styleId="BodyTextBold">
    <w:name w:val="Body Text Bold"/>
    <w:basedOn w:val="BodyText"/>
    <w:qFormat/>
    <w:rsid w:val="003D1E71"/>
    <w:rPr>
      <w:b/>
    </w:rPr>
  </w:style>
  <w:style w:type="character" w:styleId="Hyperlink">
    <w:name w:val="Hyperlink"/>
    <w:basedOn w:val="DefaultParagraphFont"/>
    <w:uiPriority w:val="99"/>
    <w:unhideWhenUsed/>
    <w:rsid w:val="007F02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3312</Characters>
  <Application>Microsoft Office Word</Application>
  <DocSecurity>0</DocSecurity>
  <Lines>157</Lines>
  <Paragraphs>84</Paragraphs>
  <ScaleCrop>false</ScaleCrop>
  <Company>Author-it Software Corporation Ltd.</Company>
  <LinksUpToDate>false</LinksUpToDate>
  <CharactersWithSpaces>3719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NWPCAD019 Monitor and operate groundwater extraction</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2022-12-13T06:24:00Z</dcterms:created>
  <dcterms:modified xsi:type="dcterms:W3CDTF">2022-12-13T06:24:00Z</dcterms:modified>
</cp:coreProperties>
</file>