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829" w:rsidP="00AB0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NWPCAD006 Monitor and coordinate catchment operations</w:t>
      </w:r>
      <w:r>
        <w:fldChar w:fldCharType="end"/>
      </w:r>
    </w:p>
    <w:p w:rsidR="00AB0829" w:rsidP="00AB0829">
      <w:pPr>
        <w:pStyle w:val="Version"/>
        <w:sectPr w:rsidSect="00354C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CBB" w:rsidP="00354CBB">
      <w:pPr>
        <w:pStyle w:val="SuperHeading"/>
      </w:pPr>
      <w:r w:rsidRPr="00354CBB">
        <w:t>NWPCAD006 Monitor and coordinate catchment operations</w:t>
      </w:r>
    </w:p>
    <w:p w:rsidR="00000000" w:rsidRPr="00354CBB" w:rsidP="00354CBB">
      <w:pPr>
        <w:pStyle w:val="Heading1"/>
      </w:pPr>
      <w:bookmarkStart w:id="1" w:name="O_1061011"/>
      <w:bookmarkEnd w:id="1"/>
      <w:r w:rsidRPr="00354C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Release 1. This is the first release of this unit of competency in the NWP National Water Training Package.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2" w:name="O_1061012"/>
      <w:bookmarkEnd w:id="2"/>
      <w:r w:rsidRPr="00354C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This unit involves the skills and knowledge required to monitor and coordina</w:t>
            </w:r>
            <w:r w:rsidRPr="00354CBB">
              <w:t>te catchment operations.</w:t>
            </w:r>
          </w:p>
          <w:p w:rsidR="00000000" w:rsidRPr="00354CBB" w:rsidP="00354CBB">
            <w:pPr>
              <w:pStyle w:val="BodyText"/>
            </w:pPr>
            <w:r w:rsidRPr="00354CBB">
              <w:t xml:space="preserve">It includes inspecting and monitoring catchment areas, monitoring flows and coordinating catchment processes. It also includes collecting data and samples, monitoring and adjusting regulatory systems, identifying and investigating </w:t>
            </w:r>
            <w:r w:rsidRPr="00354CBB">
              <w:t>catchment problems and producing technical reports.</w:t>
            </w:r>
          </w:p>
          <w:p w:rsidR="00000000" w:rsidRPr="00354CBB" w:rsidP="00354CBB">
            <w:pPr>
              <w:pStyle w:val="BodyText"/>
            </w:pPr>
            <w:r w:rsidRPr="00354CBB">
              <w:t>This unit applies to those working as field staff with a specific responsibility for monitoring and coordinating catchment operations.  Those undertaking this unit would work under appropriate supervision</w:t>
            </w:r>
            <w:r w:rsidRPr="00354CBB">
              <w:t xml:space="preserve"> while performing routine tasks ensuring minimum damage to the environment, in a familiar context. The level of responsibility may vary according to the size and complexity of the catchment area.</w:t>
            </w:r>
          </w:p>
          <w:p w:rsidR="00000000" w:rsidRPr="00354CBB" w:rsidP="00354CBB">
            <w:pPr>
              <w:pStyle w:val="BodyText"/>
            </w:pPr>
            <w:r w:rsidRPr="00354CBB">
              <w:t>No licensing, legislative or certification requirements appl</w:t>
            </w:r>
            <w:r w:rsidRPr="00354CBB">
              <w:t>y to this unit at the time of publication.</w:t>
            </w:r>
          </w:p>
        </w:tc>
      </w:tr>
    </w:tbl>
    <w:p w:rsidR="00AB0829" w:rsidP="00354CBB">
      <w:pPr>
        <w:pStyle w:val="NoPaddingFontSize1"/>
      </w:pPr>
    </w:p>
    <w:p w:rsidR="00AB0829" w:rsidP="00354CBB">
      <w:pPr>
        <w:pStyle w:val="NoPaddingFontSize1"/>
      </w:pPr>
    </w:p>
    <w:p w:rsidR="00000000" w:rsidRPr="00354CBB" w:rsidP="00354CBB">
      <w:pPr>
        <w:pStyle w:val="Heading1"/>
      </w:pPr>
      <w:bookmarkStart w:id="3" w:name="O_1061013"/>
      <w:bookmarkEnd w:id="3"/>
      <w:r w:rsidRPr="00354C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Not applicable.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4" w:name="O_1061014"/>
      <w:bookmarkEnd w:id="4"/>
      <w:r w:rsidRPr="00354C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 xml:space="preserve">Catchment and Dams 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5" w:name="O_1061015"/>
      <w:bookmarkEnd w:id="5"/>
      <w:r w:rsidRPr="00354C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Not applicable.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6" w:name="O_1061016"/>
      <w:bookmarkEnd w:id="6"/>
      <w:r w:rsidRPr="00354CB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PERFORMANCE CRITERIA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Performance criteria describe the performance needed to demonstrate achievement of the element.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Inspect and monitor catchment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Schedule routine inspections of catchment areas to identify water quality risks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Collect, analyse and report catchment data according to workplace procedures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Collect and record water samples according to workplace procedures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Monitor and report on activities within the catchment area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Select, fit and use required safety equipment, including personal protective equipment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Monitor inflows and outflows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 xml:space="preserve">Inspect flow regulating systems and determine required adjustments </w:t>
            </w:r>
            <w:r w:rsidRPr="00354CBB">
              <w:t>to meet demand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Identify and report flows into, and conditions of, catchment areas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Operate and coordinate catchment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Identify, address and report problems within catchment areas to relevant personnel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Monitor and coordinate processes to maintain the parameters of operation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Integrate catchment processes to improve source performance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Review and action investigation results according to workplace procedures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Compile reports from catchment inspections according to workplace procedures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7" w:name="O_1061017"/>
      <w:bookmarkEnd w:id="7"/>
      <w:r w:rsidRPr="00354C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Foundation skills essential to performance are explicit in the performance criteria of this unit of competency.</w:t>
            </w:r>
          </w:p>
        </w:tc>
      </w:tr>
    </w:tbl>
    <w:p w:rsidR="00AB0829" w:rsidP="00354CBB">
      <w:pPr>
        <w:pStyle w:val="NoPaddingFontSize1"/>
      </w:pPr>
    </w:p>
    <w:p w:rsidR="00AB0829" w:rsidP="00354CBB">
      <w:pPr>
        <w:pStyle w:val="NoPaddingFontSize1"/>
      </w:pPr>
    </w:p>
    <w:p w:rsidR="00000000" w:rsidRPr="00354CBB" w:rsidP="00354CBB">
      <w:pPr>
        <w:pStyle w:val="Heading1"/>
      </w:pPr>
      <w:bookmarkStart w:id="8" w:name="O_1061018"/>
      <w:bookmarkEnd w:id="8"/>
      <w:r w:rsidRPr="00354CBB">
        <w:t xml:space="preserve">Range </w:t>
      </w:r>
      <w:r w:rsidRPr="00354CBB">
        <w:t>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Range is restricted to essential operating conditions and any other variables essential to the work environment.</w:t>
            </w:r>
          </w:p>
          <w:p w:rsidR="00000000" w:rsidRPr="00354CBB" w:rsidP="00354CBB">
            <w:pPr>
              <w:pStyle w:val="BodyText"/>
            </w:pPr>
            <w:r w:rsidRPr="00354CBB">
              <w:t>Non-essential conditions may be found in the Companion Volume Implementation Guide.</w:t>
            </w:r>
          </w:p>
        </w:tc>
      </w:tr>
    </w:tbl>
    <w:p w:rsidR="00AB0829" w:rsidP="00354CBB">
      <w:pPr>
        <w:pStyle w:val="NoPaddingFontSize1"/>
      </w:pPr>
    </w:p>
    <w:p w:rsidR="00AB0829" w:rsidP="00354CBB">
      <w:pPr>
        <w:pStyle w:val="NoPaddingFontSize1"/>
      </w:pPr>
    </w:p>
    <w:p w:rsidR="00000000" w:rsidRPr="00354CBB" w:rsidP="00354CBB">
      <w:pPr>
        <w:pStyle w:val="Heading1"/>
      </w:pPr>
      <w:bookmarkStart w:id="9" w:name="O_1061019"/>
      <w:bookmarkEnd w:id="9"/>
      <w:r w:rsidRPr="00354C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This unit replaces and is equivalent to NWPSOU013 Monitor and coordinate catchment operations.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10" w:name="O_1061026"/>
      <w:bookmarkEnd w:id="10"/>
      <w:r w:rsidRPr="00354CBB">
        <w:t>Links</w:t>
      </w:r>
    </w:p>
    <w:p w:rsidR="00000000" w:rsidRPr="00354CBB" w:rsidP="00AB0829">
      <w:pPr>
        <w:pStyle w:val="BodyText"/>
      </w:pPr>
      <w:r w:rsidRPr="00354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30A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4CBB" w:rsidP="00AB0829">
      <w:pPr>
        <w:pStyle w:val="BodyText"/>
      </w:pPr>
      <w:r w:rsidRPr="00354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30A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4CBB" w:rsidP="00AB0829">
      <w:pPr>
        <w:pStyle w:val="BodyText"/>
      </w:pPr>
      <w:r w:rsidRPr="00354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30A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4CBB" w:rsidP="00AB0829">
      <w:pPr>
        <w:pStyle w:val="BodyText"/>
        <w:sectPr w:rsidSect="00354C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4CBB" w:rsidP="00354CBB">
      <w:pPr>
        <w:pStyle w:val="SuperHeading"/>
      </w:pPr>
      <w:r w:rsidRPr="00354CBB">
        <w:t>Assessment Requirements for NWPCAD006 Monitor and coordinate catchment operations</w:t>
      </w:r>
    </w:p>
    <w:p w:rsidR="00000000" w:rsidRPr="00354CBB" w:rsidP="00354CBB">
      <w:pPr>
        <w:pStyle w:val="Heading1"/>
      </w:pPr>
      <w:bookmarkStart w:id="11" w:name="O_1061021"/>
      <w:bookmarkEnd w:id="11"/>
      <w:r w:rsidRPr="00354C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>Release 1. This</w:t>
            </w:r>
            <w:r w:rsidRPr="00354CBB">
              <w:t xml:space="preserve"> is the first release of this unit of competency in the NWP National Water Training Package.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12" w:name="O_1061022"/>
      <w:bookmarkEnd w:id="12"/>
      <w:r w:rsidRPr="00354C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Evidence required to demonstrate competence in this unit must be relevant to and satisfy all the r</w:t>
            </w:r>
            <w:r w:rsidRPr="00354CBB">
              <w:t>equirements of the elements and performance criteria on at least one occasion and includes: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ListBullet"/>
            </w:pPr>
            <w:r w:rsidRPr="00354CBB">
              <w:t>assessing and reporting on the condition of the catchment area</w:t>
            </w:r>
          </w:p>
          <w:p w:rsidR="00000000" w:rsidRPr="00354CBB" w:rsidP="00354CBB">
            <w:pPr>
              <w:pStyle w:val="ListBullet"/>
            </w:pPr>
            <w:r w:rsidRPr="00354CBB">
              <w:t>calculating flow and capacity</w:t>
            </w:r>
          </w:p>
          <w:p w:rsidR="00000000" w:rsidRPr="00354CBB" w:rsidP="00354CBB">
            <w:pPr>
              <w:pStyle w:val="ListBullet"/>
            </w:pPr>
            <w:r w:rsidRPr="00354CBB">
              <w:t>collecting samples</w:t>
            </w:r>
          </w:p>
          <w:p w:rsidR="00000000" w:rsidRPr="00354CBB" w:rsidP="00354CBB">
            <w:pPr>
              <w:pStyle w:val="ListBullet"/>
            </w:pPr>
            <w:r w:rsidRPr="00354CBB">
              <w:t>completing documentation</w:t>
            </w:r>
          </w:p>
          <w:p w:rsidR="00000000" w:rsidRPr="00354CBB" w:rsidP="00354CBB">
            <w:pPr>
              <w:pStyle w:val="ListBullet"/>
            </w:pPr>
            <w:r w:rsidRPr="00354CBB">
              <w:t>coordinating catchment pr</w:t>
            </w:r>
            <w:r w:rsidRPr="00354CBB">
              <w:t>ocesses</w:t>
            </w:r>
          </w:p>
          <w:p w:rsidR="00000000" w:rsidRPr="00354CBB" w:rsidP="00354CBB">
            <w:pPr>
              <w:pStyle w:val="ListBullet"/>
            </w:pPr>
            <w:r w:rsidRPr="00354CBB">
              <w:t>identifying and addressing risks and hazards</w:t>
            </w:r>
          </w:p>
          <w:p w:rsidR="00000000" w:rsidRPr="00354CBB" w:rsidP="00354CBB">
            <w:pPr>
              <w:pStyle w:val="ListBullet"/>
            </w:pPr>
            <w:r w:rsidRPr="00354CBB">
              <w:t>identifying and reporting on flows into the catchment area</w:t>
            </w:r>
          </w:p>
          <w:p w:rsidR="00000000" w:rsidRPr="00354CBB" w:rsidP="00354CBB">
            <w:pPr>
              <w:pStyle w:val="ListBullet"/>
            </w:pPr>
            <w:r w:rsidRPr="00354CBB">
              <w:t>identifying catchment problems</w:t>
            </w:r>
          </w:p>
          <w:p w:rsidR="00000000" w:rsidRPr="00354CBB" w:rsidP="00354CBB">
            <w:pPr>
              <w:pStyle w:val="ListBullet"/>
            </w:pPr>
            <w:r w:rsidRPr="00354CBB">
              <w:t>implementing actions resulting from investigations</w:t>
            </w:r>
          </w:p>
          <w:p w:rsidR="00000000" w:rsidRPr="00354CBB" w:rsidP="00354CBB">
            <w:pPr>
              <w:pStyle w:val="ListBullet"/>
            </w:pPr>
            <w:r w:rsidRPr="00354CBB">
              <w:t>inspecting and adjusting flow regulating systems</w:t>
            </w:r>
          </w:p>
          <w:p w:rsidR="00000000" w:rsidRPr="00354CBB" w:rsidP="00354CBB">
            <w:pPr>
              <w:pStyle w:val="ListBullet"/>
            </w:pPr>
            <w:r w:rsidRPr="00354CBB">
              <w:t>inspecting and monitoring catchment areas</w:t>
            </w:r>
          </w:p>
          <w:p w:rsidR="00000000" w:rsidRPr="00354CBB" w:rsidP="00354CBB">
            <w:pPr>
              <w:pStyle w:val="ListBullet"/>
            </w:pPr>
            <w:r w:rsidRPr="00354CBB">
              <w:t>inspecting catchment areas and identifying water quality risks</w:t>
            </w:r>
          </w:p>
          <w:p w:rsidR="00000000" w:rsidRPr="00354CBB" w:rsidP="00354CBB">
            <w:pPr>
              <w:pStyle w:val="ListBullet"/>
            </w:pPr>
            <w:r w:rsidRPr="00354CBB">
              <w:t>monitoring and integrating catchments processes</w:t>
            </w:r>
          </w:p>
          <w:p w:rsidR="00000000" w:rsidRPr="00354CBB" w:rsidP="00354CBB">
            <w:pPr>
              <w:pStyle w:val="ListBullet"/>
            </w:pPr>
            <w:r w:rsidRPr="00354CBB">
              <w:t>monitoring catchment and collecting and reporting catchment data</w:t>
            </w:r>
          </w:p>
          <w:p w:rsidR="00000000" w:rsidRPr="00354CBB" w:rsidP="00354CBB">
            <w:pPr>
              <w:pStyle w:val="ListBullet"/>
            </w:pPr>
            <w:r w:rsidRPr="00354CBB">
              <w:t>monitoring flows</w:t>
            </w:r>
          </w:p>
          <w:p w:rsidR="00000000" w:rsidRPr="00354CBB" w:rsidP="00354CBB">
            <w:pPr>
              <w:pStyle w:val="ListBullet"/>
            </w:pPr>
            <w:r w:rsidRPr="00354CBB">
              <w:t>using safety equipmen</w:t>
            </w:r>
            <w:r w:rsidRPr="00354CBB">
              <w:t>t and personal protective equipment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13" w:name="O_1061023"/>
      <w:bookmarkEnd w:id="13"/>
      <w:r w:rsidRPr="00354C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BB">
            <w:pPr>
              <w:pStyle w:val="BodyText"/>
              <w:rPr>
                <w:lang w:val="en-NZ"/>
              </w:rPr>
            </w:pPr>
            <w:r w:rsidRPr="00354CB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ListBullet"/>
            </w:pPr>
            <w:r w:rsidRPr="00354CBB">
              <w:t>communication systems</w:t>
            </w:r>
          </w:p>
          <w:p w:rsidR="00000000" w:rsidRPr="00354CBB" w:rsidP="00354CBB">
            <w:pPr>
              <w:pStyle w:val="ListBullet"/>
            </w:pPr>
            <w:r w:rsidRPr="00354CBB">
              <w:t>control systems</w:t>
            </w:r>
          </w:p>
          <w:p w:rsidR="00000000" w:rsidRPr="00354CBB" w:rsidP="00354CBB">
            <w:pPr>
              <w:pStyle w:val="ListBullet"/>
            </w:pPr>
            <w:r w:rsidRPr="00354CBB">
              <w:t>coordination processes</w:t>
            </w:r>
          </w:p>
          <w:p w:rsidR="00000000" w:rsidRPr="00354CBB" w:rsidP="00354CBB">
            <w:pPr>
              <w:pStyle w:val="ListBullet"/>
            </w:pPr>
            <w:r w:rsidRPr="00354CBB">
              <w:t xml:space="preserve">effect of floods on water and wastewater treatment systems </w:t>
            </w:r>
          </w:p>
          <w:p w:rsidR="00000000" w:rsidRPr="00354CBB" w:rsidP="00354CBB">
            <w:pPr>
              <w:pStyle w:val="ListBullet"/>
            </w:pPr>
            <w:r w:rsidRPr="00354CBB">
              <w:t>effects of weather and conditions on operation of catchment areas</w:t>
            </w:r>
          </w:p>
          <w:p w:rsidR="00000000" w:rsidRPr="00354CBB" w:rsidP="00354CBB">
            <w:pPr>
              <w:pStyle w:val="ListBullet"/>
            </w:pPr>
            <w:r w:rsidRPr="00354CBB">
              <w:t>environmental aspects of catchment areas</w:t>
            </w:r>
          </w:p>
          <w:p w:rsidR="00000000" w:rsidRPr="00354CBB" w:rsidP="00354CBB">
            <w:pPr>
              <w:pStyle w:val="ListBullet"/>
            </w:pPr>
            <w:r w:rsidRPr="00354CBB">
              <w:t>hazardous substances handlin</w:t>
            </w:r>
            <w:r w:rsidRPr="00354CBB">
              <w:t>g</w:t>
            </w:r>
          </w:p>
          <w:p w:rsidR="00000000" w:rsidRPr="00354CBB" w:rsidP="00354CBB">
            <w:pPr>
              <w:pStyle w:val="ListBullet"/>
            </w:pPr>
            <w:r w:rsidRPr="00354CBB">
              <w:t>inspection of catchments</w:t>
            </w:r>
          </w:p>
          <w:p w:rsidR="00000000" w:rsidRPr="00354CBB" w:rsidP="00354CBB">
            <w:pPr>
              <w:pStyle w:val="ListBullet"/>
            </w:pPr>
            <w:r w:rsidRPr="00354CBB">
              <w:t>policies and standard operating procedures</w:t>
            </w:r>
          </w:p>
          <w:p w:rsidR="00000000" w:rsidRPr="00354CBB" w:rsidP="00354CBB">
            <w:pPr>
              <w:pStyle w:val="ListBullet"/>
            </w:pPr>
            <w:r w:rsidRPr="00354CBB">
              <w:t>pumping and valving systems</w:t>
            </w:r>
          </w:p>
          <w:p w:rsidR="00000000" w:rsidRPr="00354CBB" w:rsidP="00354CBB">
            <w:pPr>
              <w:pStyle w:val="ListBullet"/>
            </w:pPr>
            <w:r w:rsidRPr="00354CBB">
              <w:t>relevant legislation, regulations, guidelines and workplace procedures</w:t>
            </w:r>
          </w:p>
          <w:p w:rsidR="00000000" w:rsidRPr="00354CBB" w:rsidP="00354CBB">
            <w:pPr>
              <w:pStyle w:val="ListBullet"/>
            </w:pPr>
            <w:r w:rsidRPr="00354CBB">
              <w:t>risk factors and potential hazards involved with catchment area processes, equipment op</w:t>
            </w:r>
            <w:r w:rsidRPr="00354CBB">
              <w:t>eration, capacity and limitations including:</w:t>
            </w:r>
          </w:p>
          <w:p w:rsidR="00000000" w:rsidRPr="00354CBB" w:rsidP="00354CBB">
            <w:pPr>
              <w:pStyle w:val="ListBullet2"/>
            </w:pPr>
            <w:r w:rsidRPr="00354CBB">
              <w:t>pest control specifications</w:t>
            </w:r>
          </w:p>
          <w:p w:rsidR="00000000" w:rsidRPr="00354CBB" w:rsidP="00354CBB">
            <w:pPr>
              <w:pStyle w:val="ListBullet2"/>
            </w:pPr>
            <w:r w:rsidRPr="00354CBB">
              <w:t xml:space="preserve">system layout and processes 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14" w:name="O_1061024"/>
      <w:bookmarkEnd w:id="14"/>
      <w:r w:rsidRPr="00354C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C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BB" w:rsidP="00354CBB">
            <w:pPr>
              <w:pStyle w:val="BodyText"/>
            </w:pPr>
            <w:r w:rsidRPr="00354CBB">
              <w:t xml:space="preserve">Assessors must hold credentials specified within the Standards for Registered Training Organisations current at the time of assessment. </w:t>
            </w:r>
          </w:p>
          <w:p w:rsidR="00000000" w:rsidRPr="00354CBB" w:rsidP="00354CBB">
            <w:pPr>
              <w:pStyle w:val="BodyText"/>
            </w:pPr>
            <w:r w:rsidRPr="00354CBB">
              <w:t>Assessment must satisfy the Principles of Assessment and Rules of Evidence and all regulatory requirements included wit</w:t>
            </w:r>
            <w:r w:rsidRPr="00354CBB">
              <w:t>hin the Standards for Registered Training Organisations current at the time of assessment.</w:t>
            </w:r>
          </w:p>
          <w:p w:rsidR="00000000" w:rsidRPr="00354CBB" w:rsidP="00354CBB">
            <w:pPr>
              <w:pStyle w:val="BodyText"/>
            </w:pPr>
            <w:r w:rsidRPr="00354CBB">
              <w:t>Assessment must occur in workplace operational situations where it is appropriate to do so; where this is not appropriate, assessment must occur in simulated workpla</w:t>
            </w:r>
            <w:r w:rsidRPr="00354CBB">
              <w:t>ce operational situations that replicate workplace conditions.</w:t>
            </w:r>
          </w:p>
          <w:p w:rsidR="00000000" w:rsidRPr="00354CBB" w:rsidP="00354CBB">
            <w:pPr>
              <w:pStyle w:val="BodyText"/>
            </w:pPr>
            <w:r w:rsidRPr="00354C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54CBB" w:rsidP="00354CBB">
            <w:pPr>
              <w:pStyle w:val="BodyText"/>
            </w:pPr>
            <w:r w:rsidRPr="00354CBB">
              <w:t xml:space="preserve">Resources for assessment </w:t>
            </w:r>
            <w:r w:rsidRPr="00354CBB">
              <w:t>must include access to:</w:t>
            </w:r>
          </w:p>
          <w:p w:rsidR="00000000" w:rsidRPr="00354CBB" w:rsidP="00354CBB">
            <w:pPr>
              <w:pStyle w:val="ListBullet"/>
            </w:pPr>
            <w:r w:rsidRPr="00354CBB">
              <w:t>relevant and appropriate materials, tools, equipment and personal protective equipment currently used in industry</w:t>
            </w:r>
          </w:p>
          <w:p w:rsidR="00000000" w:rsidRPr="00354CBB" w:rsidP="00354CBB">
            <w:pPr>
              <w:pStyle w:val="ListBullet"/>
            </w:pPr>
            <w:r w:rsidRPr="00354CBB">
              <w:t>applicable documentation including legislation, regulations, codes of practice, workplace procedures and operation manuals.</w:t>
            </w:r>
          </w:p>
        </w:tc>
      </w:tr>
    </w:tbl>
    <w:p w:rsidR="00000000" w:rsidRPr="00354CBB" w:rsidP="00354CBB">
      <w:pPr>
        <w:pStyle w:val="NoPaddingFontSize1"/>
      </w:pPr>
    </w:p>
    <w:p w:rsidR="00000000" w:rsidRPr="00354CBB" w:rsidP="00354CBB">
      <w:pPr>
        <w:pStyle w:val="AllowPageBreak"/>
      </w:pPr>
    </w:p>
    <w:p w:rsidR="00000000" w:rsidRPr="00354CBB" w:rsidP="00354CBB">
      <w:pPr>
        <w:pStyle w:val="Heading1"/>
      </w:pPr>
      <w:bookmarkStart w:id="15" w:name="O_1061027"/>
      <w:bookmarkEnd w:id="15"/>
      <w:r w:rsidRPr="00354CBB">
        <w:t>Links</w:t>
      </w:r>
    </w:p>
    <w:p w:rsidR="00000000" w:rsidRPr="00354CBB" w:rsidP="00AB0829">
      <w:pPr>
        <w:pStyle w:val="BodyText"/>
      </w:pPr>
      <w:r w:rsidRPr="00354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30A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4CBB" w:rsidP="00AB0829">
      <w:pPr>
        <w:pStyle w:val="BodyText"/>
      </w:pPr>
      <w:r w:rsidRPr="00354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30A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4CBB" w:rsidP="00AB0829">
      <w:pPr>
        <w:pStyle w:val="BodyText"/>
      </w:pPr>
      <w:r w:rsidRPr="00354C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830A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54CBB" w:rsidP="00354CBB"/>
    <w:sectPr w:rsidSect="00354C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 w:rsidRPr="00AB0829" w:rsidP="00AB0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29" w:rsidP="00354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829" w:rsidP="00354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B0829" w:rsidP="00354C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 w:rsidP="00354C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829">
      <w:t>Approved</w:t>
    </w:r>
    <w:r w:rsidR="00AB08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8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829">
      <w:rPr>
        <w:noProof/>
      </w:rPr>
      <w:t>4</w:t>
    </w:r>
    <w:r>
      <w:rPr>
        <w:noProof/>
      </w:rPr>
      <w:fldChar w:fldCharType="end"/>
    </w:r>
  </w:p>
  <w:p w:rsidR="00354CBB" w:rsidP="00354C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8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829">
      <w:t>BuildSkills Australia</w:t>
    </w:r>
    <w:r w:rsidR="00AB0829">
      <w:fldChar w:fldCharType="end"/>
    </w:r>
  </w:p>
  <w:p w:rsidR="00354CBB" w:rsidP="00354C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CBB" w:rsidRPr="00AB0829" w:rsidP="00AB0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829" w:rsidRPr="002D2AF8" w:rsidP="00354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NWPCAD006 Monitor and coordinate catchment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829" w:rsidP="00354C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BB" w:rsidRPr="002D2AF8" w:rsidP="00354C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829">
      <w:t>NWPCAD006 Monitor and coordinate catchment operations</w:t>
    </w:r>
    <w:r w:rsidR="00AB08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829">
      <w:rPr>
        <w:noProof/>
      </w:rPr>
      <w:t>2 March 2025</w:t>
    </w:r>
    <w:r>
      <w:fldChar w:fldCharType="end"/>
    </w:r>
  </w:p>
  <w:p w:rsidR="00354CBB" w:rsidP="00354C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A86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DEB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56A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C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C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C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C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C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C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C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C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C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C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C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CBB"/>
  </w:style>
  <w:style w:type="character" w:customStyle="1" w:styleId="Heading1Char">
    <w:name w:val="Heading 1 Char"/>
    <w:basedOn w:val="DefaultParagraphFont"/>
    <w:link w:val="Heading1"/>
    <w:rsid w:val="00354C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C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C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C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CBB"/>
    <w:rPr>
      <w:b/>
      <w:spacing w:val="0"/>
    </w:rPr>
  </w:style>
  <w:style w:type="paragraph" w:styleId="ListBullet2">
    <w:name w:val="List Bullet 2"/>
    <w:basedOn w:val="List2"/>
    <w:rsid w:val="00354C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C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C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4C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C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C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C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C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C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C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C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C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C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C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C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C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C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C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C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C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C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C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C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C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C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C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C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C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C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C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C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C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C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CBB"/>
    <w:rPr>
      <w:i/>
    </w:rPr>
  </w:style>
  <w:style w:type="paragraph" w:styleId="Caption">
    <w:name w:val="caption"/>
    <w:basedOn w:val="BodyText"/>
    <w:next w:val="Normal"/>
    <w:qFormat/>
    <w:rsid w:val="00354C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C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C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CBB"/>
  </w:style>
  <w:style w:type="paragraph" w:styleId="TableofFigures">
    <w:name w:val="table of figures"/>
    <w:basedOn w:val="Normal"/>
    <w:next w:val="Normal"/>
    <w:semiHidden/>
    <w:rsid w:val="00354C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C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CBB"/>
    <w:rPr>
      <w:rFonts w:ascii="Wingdings" w:hAnsi="Wingdings"/>
    </w:rPr>
  </w:style>
  <w:style w:type="paragraph" w:customStyle="1" w:styleId="TableHeading">
    <w:name w:val="Table Heading"/>
    <w:basedOn w:val="HeadingBase"/>
    <w:rsid w:val="00354C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CBB"/>
    <w:rPr>
      <w:color w:val="0033CC"/>
      <w:u w:val="none"/>
    </w:rPr>
  </w:style>
  <w:style w:type="paragraph" w:customStyle="1" w:styleId="BodyTextRight">
    <w:name w:val="Body Text Right"/>
    <w:basedOn w:val="BodyText"/>
    <w:rsid w:val="00354C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C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C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C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C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C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CBB"/>
    <w:rPr>
      <w:sz w:val="32"/>
    </w:rPr>
  </w:style>
  <w:style w:type="paragraph" w:customStyle="1" w:styleId="HeadingProcedure">
    <w:name w:val="Heading Procedure"/>
    <w:basedOn w:val="HeadingBase"/>
    <w:next w:val="Normal"/>
    <w:rsid w:val="00354C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CBB"/>
    <w:pPr>
      <w:spacing w:before="60" w:after="60"/>
    </w:pPr>
  </w:style>
  <w:style w:type="paragraph" w:styleId="ListContinue">
    <w:name w:val="List Continue"/>
    <w:basedOn w:val="List"/>
    <w:rsid w:val="00354CBB"/>
    <w:pPr>
      <w:ind w:firstLine="0"/>
    </w:pPr>
  </w:style>
  <w:style w:type="paragraph" w:customStyle="1" w:styleId="ListNote">
    <w:name w:val="List Note"/>
    <w:basedOn w:val="List"/>
    <w:rsid w:val="00354C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C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C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CBB"/>
    <w:rPr>
      <w:rFonts w:ascii="Courier New" w:hAnsi="Courier New"/>
    </w:rPr>
  </w:style>
  <w:style w:type="paragraph" w:customStyle="1" w:styleId="NoteBullet">
    <w:name w:val="Note Bullet"/>
    <w:basedOn w:val="Note"/>
    <w:rsid w:val="00354C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C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C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C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C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C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C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CBB"/>
    <w:rPr>
      <w:b/>
      <w:smallCaps/>
    </w:rPr>
  </w:style>
  <w:style w:type="paragraph" w:customStyle="1" w:styleId="TableListNumber">
    <w:name w:val="Table List Number"/>
    <w:basedOn w:val="ListNumber"/>
    <w:rsid w:val="00354C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C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CBB"/>
    <w:pPr>
      <w:numPr>
        <w:numId w:val="9"/>
      </w:numPr>
    </w:pPr>
  </w:style>
  <w:style w:type="paragraph" w:customStyle="1" w:styleId="ListAlpha2">
    <w:name w:val="List Alpha 2"/>
    <w:basedOn w:val="List2"/>
    <w:rsid w:val="00354CBB"/>
    <w:pPr>
      <w:numPr>
        <w:numId w:val="8"/>
      </w:numPr>
    </w:pPr>
  </w:style>
  <w:style w:type="paragraph" w:styleId="List2">
    <w:name w:val="List 2"/>
    <w:basedOn w:val="BodyText"/>
    <w:rsid w:val="00354C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C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C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C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C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C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CBB"/>
    <w:pPr>
      <w:numPr>
        <w:numId w:val="4"/>
      </w:numPr>
    </w:pPr>
  </w:style>
  <w:style w:type="paragraph" w:styleId="ListContinue2">
    <w:name w:val="List Continue 2"/>
    <w:basedOn w:val="List2"/>
    <w:rsid w:val="00354CBB"/>
    <w:pPr>
      <w:ind w:firstLine="0"/>
    </w:pPr>
  </w:style>
  <w:style w:type="paragraph" w:styleId="ListContinue3">
    <w:name w:val="List Continue 3"/>
    <w:basedOn w:val="List3"/>
    <w:rsid w:val="00354CBB"/>
    <w:pPr>
      <w:ind w:left="1021" w:firstLine="0"/>
    </w:pPr>
  </w:style>
  <w:style w:type="paragraph" w:styleId="ListContinue4">
    <w:name w:val="List Continue 4"/>
    <w:basedOn w:val="List4"/>
    <w:rsid w:val="00354CBB"/>
    <w:pPr>
      <w:ind w:firstLine="0"/>
    </w:pPr>
  </w:style>
  <w:style w:type="paragraph" w:styleId="ListContinue5">
    <w:name w:val="List Continue 5"/>
    <w:basedOn w:val="List5"/>
    <w:rsid w:val="00354CBB"/>
    <w:pPr>
      <w:ind w:firstLine="0"/>
    </w:pPr>
  </w:style>
  <w:style w:type="paragraph" w:styleId="ListNumber3">
    <w:name w:val="List Number 3"/>
    <w:basedOn w:val="List3"/>
    <w:rsid w:val="00354CBB"/>
    <w:pPr>
      <w:numPr>
        <w:numId w:val="5"/>
      </w:numPr>
    </w:pPr>
  </w:style>
  <w:style w:type="paragraph" w:styleId="ListNumber4">
    <w:name w:val="List Number 4"/>
    <w:basedOn w:val="List4"/>
    <w:rsid w:val="00354CBB"/>
    <w:pPr>
      <w:numPr>
        <w:numId w:val="6"/>
      </w:numPr>
    </w:pPr>
  </w:style>
  <w:style w:type="paragraph" w:styleId="ListNumber5">
    <w:name w:val="List Number 5"/>
    <w:basedOn w:val="List5"/>
    <w:rsid w:val="00354CBB"/>
    <w:pPr>
      <w:numPr>
        <w:numId w:val="7"/>
      </w:numPr>
    </w:pPr>
  </w:style>
  <w:style w:type="paragraph" w:styleId="BlockText">
    <w:name w:val="Block Text"/>
    <w:basedOn w:val="Normal"/>
    <w:rsid w:val="00354C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C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CBB"/>
    <w:rPr>
      <w:sz w:val="16"/>
      <w:vertAlign w:val="superscript"/>
    </w:rPr>
  </w:style>
  <w:style w:type="character" w:customStyle="1" w:styleId="Symbols">
    <w:name w:val="Symbols"/>
    <w:basedOn w:val="DefaultParagraphFont"/>
    <w:rsid w:val="00354CBB"/>
    <w:rPr>
      <w:rFonts w:ascii="Symbol" w:hAnsi="Symbol"/>
    </w:rPr>
  </w:style>
  <w:style w:type="character" w:customStyle="1" w:styleId="MenuOptions">
    <w:name w:val="Menu Options"/>
    <w:basedOn w:val="DefaultParagraphFont"/>
    <w:rsid w:val="00354C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CBB"/>
    <w:rPr>
      <w:b/>
    </w:rPr>
  </w:style>
  <w:style w:type="character" w:customStyle="1" w:styleId="Underlined">
    <w:name w:val="Underlined"/>
    <w:basedOn w:val="DefaultParagraphFont"/>
    <w:rsid w:val="00354CBB"/>
    <w:rPr>
      <w:u w:val="single"/>
    </w:rPr>
  </w:style>
  <w:style w:type="paragraph" w:customStyle="1" w:styleId="TableBodyTextRight">
    <w:name w:val="Table Body Text Right"/>
    <w:basedOn w:val="TableBodyText"/>
    <w:rsid w:val="00354C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CBB"/>
    <w:rPr>
      <w:sz w:val="18"/>
    </w:rPr>
  </w:style>
  <w:style w:type="paragraph" w:customStyle="1" w:styleId="BodySmallRight">
    <w:name w:val="Body Small Right"/>
    <w:basedOn w:val="BodyTextRight"/>
    <w:rsid w:val="00354CBB"/>
    <w:rPr>
      <w:sz w:val="18"/>
      <w:szCs w:val="18"/>
    </w:rPr>
  </w:style>
  <w:style w:type="paragraph" w:customStyle="1" w:styleId="MarginEdition">
    <w:name w:val="Margin Edition"/>
    <w:basedOn w:val="MarginNote"/>
    <w:rsid w:val="00354C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CBB"/>
    <w:rPr>
      <w:sz w:val="2"/>
      <w:szCs w:val="2"/>
    </w:rPr>
  </w:style>
  <w:style w:type="character" w:customStyle="1" w:styleId="Small">
    <w:name w:val="Small"/>
    <w:basedOn w:val="DefaultParagraphFont"/>
    <w:rsid w:val="00354CBB"/>
    <w:rPr>
      <w:sz w:val="16"/>
    </w:rPr>
  </w:style>
  <w:style w:type="paragraph" w:customStyle="1" w:styleId="WideTable">
    <w:name w:val="Wide Table"/>
    <w:basedOn w:val="Normal"/>
    <w:rsid w:val="00354C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CBB"/>
  </w:style>
  <w:style w:type="paragraph" w:styleId="Quote">
    <w:name w:val="Quote"/>
    <w:basedOn w:val="Heading1"/>
    <w:link w:val="QuoteChar"/>
    <w:qFormat/>
    <w:rsid w:val="00354C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C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CBB"/>
    <w:pPr>
      <w:pageBreakBefore/>
    </w:pPr>
  </w:style>
  <w:style w:type="paragraph" w:customStyle="1" w:styleId="Border">
    <w:name w:val="Border"/>
    <w:basedOn w:val="Normal"/>
    <w:qFormat/>
    <w:rsid w:val="00354C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C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C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C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C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C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C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C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C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CBB"/>
    <w:rPr>
      <w:u w:val="single"/>
    </w:rPr>
  </w:style>
  <w:style w:type="character" w:customStyle="1" w:styleId="BoldandItalics">
    <w:name w:val="Bold and Italics"/>
    <w:qFormat/>
    <w:rsid w:val="00354CBB"/>
    <w:rPr>
      <w:b/>
      <w:i/>
      <w:u w:val="none"/>
    </w:rPr>
  </w:style>
  <w:style w:type="paragraph" w:styleId="BalloonText">
    <w:name w:val="Balloon Text"/>
    <w:basedOn w:val="Normal"/>
    <w:link w:val="BalloonTextChar"/>
    <w:rsid w:val="00354C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C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C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C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C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C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CBB"/>
    <w:pPr>
      <w:spacing w:before="0" w:after="0"/>
    </w:pPr>
  </w:style>
  <w:style w:type="paragraph" w:customStyle="1" w:styleId="BodyTextBold">
    <w:name w:val="Body Text Bold"/>
    <w:basedOn w:val="BodyText"/>
    <w:qFormat/>
    <w:rsid w:val="00354CBB"/>
    <w:rPr>
      <w:b/>
    </w:rPr>
  </w:style>
  <w:style w:type="character" w:styleId="Hyperlink">
    <w:name w:val="Hyperlink"/>
    <w:basedOn w:val="DefaultParagraphFont"/>
    <w:uiPriority w:val="99"/>
    <w:unhideWhenUsed/>
    <w:rsid w:val="00AB0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6663</Characters>
  <Application>Microsoft Office Word</Application>
  <DocSecurity>0</DocSecurity>
  <Lines>229</Lines>
  <Paragraphs>140</Paragraphs>
  <ScaleCrop>false</ScaleCrop>
  <Company>Author-it Software Corporation Ltd.</Company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NWPCAD006 Monitor and coordinate catchment operations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