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94F" w:rsidP="00C11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NWPCAD005 Monitor, inspect and report catchment areas</w:t>
      </w:r>
      <w:r>
        <w:fldChar w:fldCharType="end"/>
      </w:r>
    </w:p>
    <w:p w:rsidR="00C1194F" w:rsidP="00C1194F">
      <w:pPr>
        <w:pStyle w:val="Version"/>
        <w:sectPr w:rsidSect="00351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5EC" w:rsidP="003515EC">
      <w:pPr>
        <w:pStyle w:val="SuperHeading"/>
      </w:pPr>
      <w:r w:rsidRPr="003515EC">
        <w:t>NWPCAD005 Monitor, inspect and report catchment areas</w:t>
      </w:r>
    </w:p>
    <w:p w:rsidR="00000000" w:rsidRPr="003515EC" w:rsidP="003515EC">
      <w:pPr>
        <w:pStyle w:val="Heading1"/>
      </w:pPr>
      <w:bookmarkStart w:id="1" w:name="O_1060987"/>
      <w:bookmarkEnd w:id="1"/>
      <w:r w:rsidRPr="003515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Release 1. This is the first release of this unit of competency in the NWP National Water Training Package.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2" w:name="O_1060989"/>
      <w:bookmarkEnd w:id="2"/>
      <w:r w:rsidRPr="003515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This unit involves the skills and knowledge required to monitor, inspect and</w:t>
            </w:r>
            <w:r w:rsidRPr="003515EC">
              <w:t xml:space="preserve"> report catchment areas.</w:t>
            </w:r>
          </w:p>
          <w:p w:rsidR="00000000" w:rsidRPr="003515EC" w:rsidP="003515EC">
            <w:pPr>
              <w:pStyle w:val="BodyText"/>
            </w:pPr>
            <w:r w:rsidRPr="003515EC">
              <w:t>It includes monitoring flows, coordinating catchment areas and collecting data and samples.  It also includes monitoring and adjusting regulatory systems, identifying and investigating catchment problems and producing reports.</w:t>
            </w:r>
          </w:p>
          <w:p w:rsidR="00000000" w:rsidRPr="003515EC" w:rsidP="003515EC">
            <w:pPr>
              <w:pStyle w:val="BodyText"/>
            </w:pPr>
            <w:r w:rsidRPr="003515EC">
              <w:t>This</w:t>
            </w:r>
            <w:r w:rsidRPr="003515EC">
              <w:t xml:space="preserve"> unit applies to field staff with a specific responsibility for inspecting, monitoring and reporting catchment areas.  Those undertaking this unit would work under appropriate supervision while performing routine tasks ensuring minimum damage to the enviro</w:t>
            </w:r>
            <w:r w:rsidRPr="003515EC">
              <w:t>nment, in a familiar context. The level of responsibility may vary according to the size and complexity of the catchment area.</w:t>
            </w:r>
          </w:p>
          <w:p w:rsidR="00000000" w:rsidRPr="003515EC" w:rsidP="003515EC">
            <w:pPr>
              <w:pStyle w:val="BodyText"/>
            </w:pPr>
            <w:r w:rsidRPr="003515EC">
              <w:t>No licensing, legislative or certification requirements apply to this unit at the time of publication.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3" w:name="O_1060990"/>
      <w:bookmarkEnd w:id="3"/>
      <w:r w:rsidRPr="003515EC">
        <w:t>Pre-r</w:t>
      </w:r>
      <w:r w:rsidRPr="003515EC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Not applicable.</w:t>
            </w:r>
          </w:p>
        </w:tc>
      </w:tr>
    </w:tbl>
    <w:p w:rsidR="00C1194F" w:rsidP="003515EC">
      <w:pPr>
        <w:pStyle w:val="NoPaddingFontSize1"/>
      </w:pPr>
    </w:p>
    <w:p w:rsidR="00C1194F" w:rsidP="003515EC">
      <w:pPr>
        <w:pStyle w:val="NoPaddingFontSize1"/>
      </w:pPr>
    </w:p>
    <w:p w:rsidR="00000000" w:rsidRPr="003515EC" w:rsidP="003515EC">
      <w:pPr>
        <w:pStyle w:val="Heading1"/>
      </w:pPr>
      <w:bookmarkStart w:id="4" w:name="O_1060992"/>
      <w:bookmarkEnd w:id="4"/>
      <w:r w:rsidRPr="003515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Catchment and Dams</w:t>
            </w:r>
          </w:p>
        </w:tc>
      </w:tr>
    </w:tbl>
    <w:p w:rsidR="00C1194F" w:rsidP="003515EC">
      <w:pPr>
        <w:pStyle w:val="NoPaddingFontSize1"/>
      </w:pPr>
    </w:p>
    <w:p w:rsidR="00C1194F" w:rsidP="003515EC">
      <w:pPr>
        <w:pStyle w:val="NoPaddingFontSize1"/>
      </w:pPr>
    </w:p>
    <w:p w:rsidR="00000000" w:rsidRPr="003515EC" w:rsidP="003515EC">
      <w:pPr>
        <w:pStyle w:val="Heading1"/>
      </w:pPr>
      <w:bookmarkStart w:id="5" w:name="O_1060993"/>
      <w:bookmarkEnd w:id="5"/>
      <w:r w:rsidRPr="003515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Not applicable.</w:t>
            </w:r>
          </w:p>
        </w:tc>
      </w:tr>
    </w:tbl>
    <w:p w:rsidR="00C1194F" w:rsidP="003515EC">
      <w:pPr>
        <w:pStyle w:val="NoPaddingFontSize1"/>
      </w:pPr>
    </w:p>
    <w:p w:rsidR="00C1194F" w:rsidP="003515EC">
      <w:pPr>
        <w:pStyle w:val="NoPaddingFontSize1"/>
      </w:pPr>
    </w:p>
    <w:p w:rsidR="00000000" w:rsidRPr="003515EC" w:rsidP="003515EC">
      <w:pPr>
        <w:pStyle w:val="Heading1"/>
      </w:pPr>
      <w:bookmarkStart w:id="6" w:name="O_1060994"/>
      <w:bookmarkEnd w:id="6"/>
      <w:r w:rsidRPr="003515E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PERFORMANCE CRITERIA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Performance criteria describe the performance needed to demonstrate achievement of the element.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 xml:space="preserve">Inspect and monitor </w:t>
            </w:r>
            <w:r w:rsidRPr="003515EC">
              <w:rPr>
                <w:rStyle w:val="SpecialBold"/>
              </w:rPr>
              <w:t>catchment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 xml:space="preserve">Identify and apply work requirements for undertaking </w:t>
            </w:r>
            <w:r w:rsidRPr="003515EC">
              <w:t>inspections of catc</w:t>
            </w:r>
            <w:r w:rsidRPr="003515EC">
              <w:t>hments and surrounding areas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Schedule routine inspections of catchment areas to identify water quality risks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Inspect and monitor designated locations according to work schedule and workplace procedures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Inspect flow regulating systems and adjust to meet demand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Select, fit and use safety equipment, including personal protective equipment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Operate and report catchment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Measure and record catchment inflows and outflows or extractions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Collect and record water samples according to sampling requirements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Identify organisational guidelines for the condition and maintenance of catchment environment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Identify changes to environmental conditions outside of normal parameters and report to relevant personnel for further action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Assist in investigating hazards, risks and catchment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Identify and report activities within catchment posing a hazard or risk to the public, water quality or the environment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Identify and report activities of external parties within catchment and surrounding area breaching organisational guidelines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Check and confirm public concerns and report to relevant personnel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Identify and collect catchment data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Compile reports from catchment inspections according to workplace procedures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7" w:name="O_1060995"/>
      <w:bookmarkEnd w:id="7"/>
      <w:r w:rsidRPr="003515EC">
        <w:t>Foundation Ski</w:t>
      </w:r>
      <w:r w:rsidRPr="003515EC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Foundation skills essential to performance are explicit in the performance criteria of this unit of competency.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8" w:name="O_1060997"/>
      <w:bookmarkEnd w:id="8"/>
      <w:r w:rsidRPr="003515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 xml:space="preserve">Range is restricted to essential operating conditions and any </w:t>
            </w:r>
            <w:r w:rsidRPr="003515EC">
              <w:t>other variables essential to the work environment.</w:t>
            </w:r>
          </w:p>
          <w:p w:rsidR="00000000" w:rsidRPr="003515EC" w:rsidP="003515EC">
            <w:pPr>
              <w:pStyle w:val="BodyText"/>
            </w:pPr>
            <w:r w:rsidRPr="003515EC">
              <w:t>Non-essential conditions may be found in the Companion Volume Implementation Guide.</w:t>
            </w:r>
          </w:p>
        </w:tc>
      </w:tr>
    </w:tbl>
    <w:p w:rsidR="00C1194F" w:rsidP="003515EC">
      <w:pPr>
        <w:pStyle w:val="NoPaddingFontSize1"/>
      </w:pPr>
    </w:p>
    <w:p w:rsidR="00C1194F" w:rsidP="003515EC">
      <w:pPr>
        <w:pStyle w:val="NoPaddingFontSize1"/>
      </w:pPr>
    </w:p>
    <w:p w:rsidR="00000000" w:rsidRPr="003515EC" w:rsidP="003515EC">
      <w:pPr>
        <w:pStyle w:val="Heading1"/>
      </w:pPr>
      <w:bookmarkStart w:id="9" w:name="O_1060998"/>
      <w:bookmarkEnd w:id="9"/>
      <w:r w:rsidRPr="003515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This unit replaces and is equivalent to NWPSOU012 Monitor, inspect and rep</w:t>
            </w:r>
            <w:r w:rsidRPr="003515EC">
              <w:t>ort catchment operations.</w:t>
            </w:r>
          </w:p>
        </w:tc>
      </w:tr>
    </w:tbl>
    <w:p w:rsidR="00C1194F" w:rsidP="003515EC">
      <w:pPr>
        <w:pStyle w:val="NoPaddingFontSize1"/>
      </w:pPr>
    </w:p>
    <w:p w:rsidR="00C1194F" w:rsidP="003515EC">
      <w:pPr>
        <w:pStyle w:val="NoPaddingFontSize1"/>
      </w:pPr>
    </w:p>
    <w:p w:rsidR="00000000" w:rsidRPr="003515EC" w:rsidP="003515EC">
      <w:pPr>
        <w:pStyle w:val="Heading1"/>
      </w:pPr>
      <w:bookmarkStart w:id="10" w:name="O_1061007"/>
      <w:bookmarkEnd w:id="10"/>
      <w:r w:rsidRPr="003515EC">
        <w:t>Links</w:t>
      </w:r>
    </w:p>
    <w:p w:rsidR="00000000" w:rsidRPr="003515EC" w:rsidP="00C1194F">
      <w:pPr>
        <w:pStyle w:val="BodyText"/>
      </w:pPr>
      <w:r w:rsidRPr="00351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08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15EC" w:rsidP="00C1194F">
      <w:pPr>
        <w:pStyle w:val="BodyText"/>
      </w:pPr>
      <w:r w:rsidRPr="003515EC">
        <w:t>Companion Volume implementation guides are found in VETN</w:t>
      </w:r>
      <w:r w:rsidRPr="003515EC">
        <w:t xml:space="preserve">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08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15EC" w:rsidP="00C1194F">
      <w:pPr>
        <w:pStyle w:val="BodyText"/>
      </w:pPr>
      <w:r w:rsidRPr="00351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08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15EC" w:rsidP="00C1194F">
      <w:pPr>
        <w:pStyle w:val="BodyText"/>
        <w:sectPr w:rsidSect="003515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15EC" w:rsidP="003515EC">
      <w:pPr>
        <w:pStyle w:val="SuperHeading"/>
      </w:pPr>
      <w:r w:rsidRPr="003515EC">
        <w:t>Assessment Requirements for NWPCAD005 Monitor, inspect and report catchment areas</w:t>
      </w:r>
    </w:p>
    <w:p w:rsidR="00000000" w:rsidRPr="003515EC" w:rsidP="003515EC">
      <w:pPr>
        <w:pStyle w:val="Heading1"/>
      </w:pPr>
      <w:bookmarkStart w:id="11" w:name="O_1061001"/>
      <w:bookmarkEnd w:id="11"/>
      <w:r w:rsidRPr="003515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>Release 1. This is the first release of this unit of competency in the NWP National Water Training Package.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12" w:name="O_1061002"/>
      <w:bookmarkEnd w:id="12"/>
      <w:r w:rsidRPr="003515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Evidence required to demonstrate competence in this unit must be relevant to and satisfy all the requireme</w:t>
            </w:r>
            <w:r w:rsidRPr="003515EC">
              <w:t>nts of the elements and performance criteria on at least one occasion and includes: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ListBullet"/>
            </w:pPr>
            <w:r w:rsidRPr="003515EC">
              <w:t>assessing and reporting on the condition of the catchment area</w:t>
            </w:r>
          </w:p>
          <w:p w:rsidR="00000000" w:rsidRPr="003515EC" w:rsidP="003515EC">
            <w:pPr>
              <w:pStyle w:val="ListBullet"/>
            </w:pPr>
            <w:r w:rsidRPr="003515EC">
              <w:t>collecting samples</w:t>
            </w:r>
          </w:p>
          <w:p w:rsidR="00000000" w:rsidRPr="003515EC" w:rsidP="003515EC">
            <w:pPr>
              <w:pStyle w:val="ListBullet"/>
            </w:pPr>
            <w:r w:rsidRPr="003515EC">
              <w:t>completing documentation</w:t>
            </w:r>
          </w:p>
          <w:p w:rsidR="00000000" w:rsidRPr="003515EC" w:rsidP="003515EC">
            <w:pPr>
              <w:pStyle w:val="ListBullet"/>
            </w:pPr>
            <w:r w:rsidRPr="003515EC">
              <w:t xml:space="preserve">coordinating safety </w:t>
            </w:r>
          </w:p>
          <w:p w:rsidR="00000000" w:rsidRPr="003515EC" w:rsidP="003515EC">
            <w:pPr>
              <w:pStyle w:val="ListBullet"/>
            </w:pPr>
            <w:r w:rsidRPr="003515EC">
              <w:t>identifying and addressing risks and hazards</w:t>
            </w:r>
          </w:p>
          <w:p w:rsidR="00000000" w:rsidRPr="003515EC" w:rsidP="003515EC">
            <w:pPr>
              <w:pStyle w:val="ListBullet"/>
            </w:pPr>
            <w:r w:rsidRPr="003515EC">
              <w:t>identifying and reporting on flows into the catchment area</w:t>
            </w:r>
          </w:p>
          <w:p w:rsidR="00000000" w:rsidRPr="003515EC" w:rsidP="003515EC">
            <w:pPr>
              <w:pStyle w:val="ListBullet"/>
            </w:pPr>
            <w:r w:rsidRPr="003515EC">
              <w:t>identifying catchment faults</w:t>
            </w:r>
          </w:p>
          <w:p w:rsidR="00000000" w:rsidRPr="003515EC" w:rsidP="003515EC">
            <w:pPr>
              <w:pStyle w:val="ListBullet"/>
            </w:pPr>
            <w:r w:rsidRPr="003515EC">
              <w:t>inspecting and adjusting flow regulating systems</w:t>
            </w:r>
          </w:p>
          <w:p w:rsidR="00000000" w:rsidRPr="003515EC" w:rsidP="003515EC">
            <w:pPr>
              <w:pStyle w:val="ListBullet"/>
            </w:pPr>
            <w:r w:rsidRPr="003515EC">
              <w:t>inspecting and monitoring catchment areas</w:t>
            </w:r>
          </w:p>
          <w:p w:rsidR="00000000" w:rsidRPr="003515EC" w:rsidP="003515EC">
            <w:pPr>
              <w:pStyle w:val="ListBullet"/>
            </w:pPr>
            <w:r w:rsidRPr="003515EC">
              <w:t>inspecting catchment areas and i</w:t>
            </w:r>
            <w:r w:rsidRPr="003515EC">
              <w:t>dentifying water quality risks</w:t>
            </w:r>
          </w:p>
          <w:p w:rsidR="00000000" w:rsidRPr="003515EC" w:rsidP="003515EC">
            <w:pPr>
              <w:pStyle w:val="ListBullet"/>
            </w:pPr>
            <w:r w:rsidRPr="003515EC">
              <w:t>measuring flow and capacity</w:t>
            </w:r>
          </w:p>
          <w:p w:rsidR="00000000" w:rsidRPr="003515EC" w:rsidP="003515EC">
            <w:pPr>
              <w:pStyle w:val="ListBullet"/>
            </w:pPr>
            <w:r w:rsidRPr="003515EC">
              <w:t>monitoring and integrating catchments processes</w:t>
            </w:r>
          </w:p>
          <w:p w:rsidR="00000000" w:rsidRPr="003515EC" w:rsidP="003515EC">
            <w:pPr>
              <w:pStyle w:val="ListBullet"/>
            </w:pPr>
            <w:r w:rsidRPr="003515EC">
              <w:t xml:space="preserve">monitoring and reporting organisational guideline breaches </w:t>
            </w:r>
          </w:p>
          <w:p w:rsidR="00000000" w:rsidRPr="003515EC" w:rsidP="003515EC">
            <w:pPr>
              <w:pStyle w:val="ListBullet"/>
            </w:pPr>
            <w:r w:rsidRPr="003515EC">
              <w:t>monitoring catchment and collecting and reporting catchment data</w:t>
            </w:r>
          </w:p>
          <w:p w:rsidR="00000000" w:rsidRPr="003515EC" w:rsidP="003515EC">
            <w:pPr>
              <w:pStyle w:val="ListBullet"/>
            </w:pPr>
            <w:r w:rsidRPr="003515EC">
              <w:t>monitoring flows</w:t>
            </w:r>
          </w:p>
          <w:p w:rsidR="00000000" w:rsidRPr="003515EC" w:rsidP="003515EC">
            <w:pPr>
              <w:pStyle w:val="ListBullet"/>
            </w:pPr>
            <w:r w:rsidRPr="003515EC">
              <w:t>organis</w:t>
            </w:r>
            <w:r w:rsidRPr="003515EC">
              <w:t xml:space="preserve">ing pest eradication </w:t>
            </w:r>
          </w:p>
          <w:p w:rsidR="00000000" w:rsidRPr="003515EC" w:rsidP="003515EC">
            <w:pPr>
              <w:pStyle w:val="ListBullet"/>
            </w:pPr>
            <w:r w:rsidRPr="003515EC">
              <w:t>using safety equipment and personal protective equipment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13" w:name="O_1061004"/>
      <w:bookmarkEnd w:id="13"/>
      <w:r w:rsidRPr="003515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EC">
            <w:pPr>
              <w:pStyle w:val="BodyText"/>
              <w:rPr>
                <w:lang w:val="en-NZ"/>
              </w:rPr>
            </w:pPr>
            <w:r w:rsidRPr="003515EC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ListBullet"/>
            </w:pPr>
            <w:r w:rsidRPr="003515EC">
              <w:t>catchment layout and processes</w:t>
            </w:r>
          </w:p>
          <w:p w:rsidR="00000000" w:rsidRPr="003515EC" w:rsidP="003515EC">
            <w:pPr>
              <w:pStyle w:val="ListBullet"/>
            </w:pPr>
            <w:r w:rsidRPr="003515EC">
              <w:t>communication systems</w:t>
            </w:r>
          </w:p>
          <w:p w:rsidR="00000000" w:rsidRPr="003515EC" w:rsidP="003515EC">
            <w:pPr>
              <w:pStyle w:val="ListBullet"/>
            </w:pPr>
            <w:r w:rsidRPr="003515EC">
              <w:t>coordination processes</w:t>
            </w:r>
          </w:p>
          <w:p w:rsidR="00000000" w:rsidRPr="003515EC" w:rsidP="003515EC">
            <w:pPr>
              <w:pStyle w:val="ListBullet"/>
            </w:pPr>
            <w:r w:rsidRPr="003515EC">
              <w:t>effects of weather and conditions on operation of catchment areas</w:t>
            </w:r>
          </w:p>
          <w:p w:rsidR="00000000" w:rsidRPr="003515EC" w:rsidP="003515EC">
            <w:pPr>
              <w:pStyle w:val="ListBullet"/>
            </w:pPr>
            <w:r w:rsidRPr="003515EC">
              <w:t>environmental aspects of catchment areas</w:t>
            </w:r>
          </w:p>
          <w:p w:rsidR="00000000" w:rsidRPr="003515EC" w:rsidP="003515EC">
            <w:pPr>
              <w:pStyle w:val="ListBullet"/>
            </w:pPr>
            <w:r w:rsidRPr="003515EC">
              <w:t>inspection requirements of catchments</w:t>
            </w:r>
          </w:p>
          <w:p w:rsidR="00000000" w:rsidRPr="003515EC" w:rsidP="003515EC">
            <w:pPr>
              <w:pStyle w:val="ListBullet"/>
            </w:pPr>
            <w:r w:rsidRPr="003515EC">
              <w:t>pest control specifications</w:t>
            </w:r>
          </w:p>
          <w:p w:rsidR="00000000" w:rsidRPr="003515EC" w:rsidP="003515EC">
            <w:pPr>
              <w:pStyle w:val="ListBullet"/>
            </w:pPr>
            <w:r w:rsidRPr="003515EC">
              <w:t>relevant by-laws and legislation</w:t>
            </w:r>
          </w:p>
          <w:p w:rsidR="00000000" w:rsidRPr="003515EC" w:rsidP="003515EC">
            <w:pPr>
              <w:pStyle w:val="ListBullet"/>
            </w:pPr>
            <w:r w:rsidRPr="003515EC">
              <w:t>relevant regulations and workplace procedures</w:t>
            </w:r>
          </w:p>
          <w:p w:rsidR="00000000" w:rsidRPr="003515EC" w:rsidP="003515EC">
            <w:pPr>
              <w:pStyle w:val="ListBullet"/>
            </w:pPr>
            <w:r w:rsidRPr="003515EC">
              <w:t>relevant water industry guidelines</w:t>
            </w:r>
          </w:p>
          <w:p w:rsidR="00000000" w:rsidRPr="003515EC" w:rsidP="003515EC">
            <w:pPr>
              <w:pStyle w:val="ListBullet"/>
            </w:pPr>
            <w:r w:rsidRPr="003515EC">
              <w:t>risk factors and potential hazards involved with catchment area processes, equipment operation, capacity and limitations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14" w:name="O_1061005"/>
      <w:bookmarkEnd w:id="14"/>
      <w:r w:rsidRPr="003515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EC" w:rsidP="003515EC">
            <w:pPr>
              <w:pStyle w:val="BodyText"/>
            </w:pPr>
            <w:r w:rsidRPr="003515EC">
              <w:t xml:space="preserve">Assessors must hold credentials specified within the Standards for Registered Training Organisations current at the time of assessment. </w:t>
            </w:r>
          </w:p>
          <w:p w:rsidR="00000000" w:rsidRPr="003515EC" w:rsidP="003515EC">
            <w:pPr>
              <w:pStyle w:val="BodyText"/>
            </w:pPr>
            <w:r w:rsidRPr="003515EC">
              <w:t>Assessment must satisfy the Principles of Assessment and Rules of Evidence and all regulatory requirements included wit</w:t>
            </w:r>
            <w:r w:rsidRPr="003515EC">
              <w:t>hin the Standards for Registered Training Organisations current at the time of assessment.</w:t>
            </w:r>
          </w:p>
          <w:p w:rsidR="00000000" w:rsidRPr="003515EC" w:rsidP="003515EC">
            <w:pPr>
              <w:pStyle w:val="BodyText"/>
            </w:pPr>
            <w:r w:rsidRPr="003515EC">
              <w:t>Assessment must occur in workplace operational situations where it is appropriate to do so; where this is not appropriate, assessment must occur in simulated workpla</w:t>
            </w:r>
            <w:r w:rsidRPr="003515EC">
              <w:t>ce operational situations that replicate workplace conditions.</w:t>
            </w:r>
          </w:p>
          <w:p w:rsidR="00000000" w:rsidRPr="003515EC" w:rsidP="003515EC">
            <w:pPr>
              <w:pStyle w:val="BodyText"/>
            </w:pPr>
            <w:r w:rsidRPr="003515E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515EC" w:rsidP="003515EC">
            <w:pPr>
              <w:pStyle w:val="BodyText"/>
            </w:pPr>
            <w:r w:rsidRPr="003515EC">
              <w:t xml:space="preserve">Resources for assessment </w:t>
            </w:r>
            <w:r w:rsidRPr="003515EC">
              <w:t>must include access to:</w:t>
            </w:r>
          </w:p>
          <w:p w:rsidR="00000000" w:rsidRPr="003515EC" w:rsidP="003515EC">
            <w:pPr>
              <w:pStyle w:val="ListBullet"/>
            </w:pPr>
            <w:r w:rsidRPr="003515EC">
              <w:t>relevant and appropriate materials, tools, equipment and personal protective equipment currently used in industry</w:t>
            </w:r>
          </w:p>
          <w:p w:rsidR="00000000" w:rsidRPr="003515EC" w:rsidP="003515EC">
            <w:pPr>
              <w:pStyle w:val="ListBullet"/>
            </w:pPr>
            <w:r w:rsidRPr="003515EC">
              <w:t>applicable documentation including legislation, regulations, codes of practice, workplace procedures and operation ma</w:t>
            </w:r>
            <w:r w:rsidRPr="003515EC">
              <w:t>nuals.</w:t>
            </w:r>
          </w:p>
        </w:tc>
      </w:tr>
    </w:tbl>
    <w:p w:rsidR="00000000" w:rsidRPr="003515EC" w:rsidP="003515EC">
      <w:pPr>
        <w:pStyle w:val="NoPaddingFontSize1"/>
      </w:pPr>
    </w:p>
    <w:p w:rsidR="00000000" w:rsidRPr="003515EC" w:rsidP="003515EC">
      <w:pPr>
        <w:pStyle w:val="AllowPageBreak"/>
      </w:pPr>
    </w:p>
    <w:p w:rsidR="00000000" w:rsidRPr="003515EC" w:rsidP="003515EC">
      <w:pPr>
        <w:pStyle w:val="Heading1"/>
      </w:pPr>
      <w:bookmarkStart w:id="15" w:name="O_1061008"/>
      <w:bookmarkEnd w:id="15"/>
      <w:r w:rsidRPr="003515EC">
        <w:t>Links</w:t>
      </w:r>
    </w:p>
    <w:p w:rsidR="00000000" w:rsidRPr="003515EC" w:rsidP="00C1194F">
      <w:pPr>
        <w:pStyle w:val="BodyText"/>
      </w:pPr>
      <w:r w:rsidRPr="00351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08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15EC" w:rsidP="00C1194F">
      <w:pPr>
        <w:pStyle w:val="BodyText"/>
      </w:pPr>
      <w:r w:rsidRPr="00351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08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15EC" w:rsidP="00C1194F">
      <w:pPr>
        <w:pStyle w:val="BodyText"/>
      </w:pPr>
      <w:r w:rsidRPr="00351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808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15EC" w:rsidP="003515EC"/>
    <w:sectPr w:rsidSect="003515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 w:rsidRPr="00C1194F" w:rsidP="00C11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4F" w:rsidP="00351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94F" w:rsidP="00351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194F" w:rsidP="003515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 w:rsidP="00351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94F">
      <w:t>Approved</w:t>
    </w:r>
    <w:r w:rsidR="00C119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9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94F">
      <w:rPr>
        <w:noProof/>
      </w:rPr>
      <w:t>4</w:t>
    </w:r>
    <w:r>
      <w:rPr>
        <w:noProof/>
      </w:rPr>
      <w:fldChar w:fldCharType="end"/>
    </w:r>
  </w:p>
  <w:p w:rsidR="003515EC" w:rsidP="00351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9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94F">
      <w:t>BuildSkills Australia</w:t>
    </w:r>
    <w:r w:rsidR="00C1194F">
      <w:fldChar w:fldCharType="end"/>
    </w:r>
  </w:p>
  <w:p w:rsidR="003515EC" w:rsidP="00351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5EC" w:rsidRPr="00C1194F" w:rsidP="00C11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4F" w:rsidRPr="002D2AF8" w:rsidP="00351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NWPCAD005 Monitor, inspect and report catchment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94F" w:rsidP="003515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C" w:rsidRPr="002D2AF8" w:rsidP="00351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94F">
      <w:t>NWPCAD005 Monitor, inspect and report catchment areas</w:t>
    </w:r>
    <w:r w:rsidR="00C119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94F">
      <w:rPr>
        <w:noProof/>
      </w:rPr>
      <w:t>2 March 2025</w:t>
    </w:r>
    <w:r>
      <w:fldChar w:fldCharType="end"/>
    </w:r>
  </w:p>
  <w:p w:rsidR="003515EC" w:rsidP="00351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49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50A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5EC"/>
  </w:style>
  <w:style w:type="character" w:customStyle="1" w:styleId="Heading1Char">
    <w:name w:val="Heading 1 Char"/>
    <w:basedOn w:val="DefaultParagraphFont"/>
    <w:link w:val="Heading1"/>
    <w:rsid w:val="00351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5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5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5EC"/>
    <w:rPr>
      <w:b/>
      <w:spacing w:val="0"/>
    </w:rPr>
  </w:style>
  <w:style w:type="paragraph" w:customStyle="1" w:styleId="SuperHeading">
    <w:name w:val="SuperHeading"/>
    <w:basedOn w:val="Normal"/>
    <w:rsid w:val="00351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1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5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5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5EC"/>
    <w:rPr>
      <w:i/>
    </w:rPr>
  </w:style>
  <w:style w:type="paragraph" w:styleId="Caption">
    <w:name w:val="caption"/>
    <w:basedOn w:val="BodyText"/>
    <w:next w:val="Normal"/>
    <w:qFormat/>
    <w:rsid w:val="00351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5EC"/>
  </w:style>
  <w:style w:type="paragraph" w:styleId="TableofFigures">
    <w:name w:val="table of figures"/>
    <w:basedOn w:val="Normal"/>
    <w:next w:val="Normal"/>
    <w:semiHidden/>
    <w:rsid w:val="00351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5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5EC"/>
    <w:rPr>
      <w:rFonts w:ascii="Wingdings" w:hAnsi="Wingdings"/>
    </w:rPr>
  </w:style>
  <w:style w:type="paragraph" w:customStyle="1" w:styleId="TableHeading">
    <w:name w:val="Table Heading"/>
    <w:basedOn w:val="HeadingBase"/>
    <w:rsid w:val="00351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5EC"/>
    <w:rPr>
      <w:color w:val="0033CC"/>
      <w:u w:val="none"/>
    </w:rPr>
  </w:style>
  <w:style w:type="paragraph" w:customStyle="1" w:styleId="BodyTextRight">
    <w:name w:val="Body Text Right"/>
    <w:basedOn w:val="BodyText"/>
    <w:rsid w:val="00351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5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5EC"/>
    <w:rPr>
      <w:sz w:val="32"/>
    </w:rPr>
  </w:style>
  <w:style w:type="paragraph" w:customStyle="1" w:styleId="HeadingProcedure">
    <w:name w:val="Heading Procedure"/>
    <w:basedOn w:val="HeadingBase"/>
    <w:next w:val="Normal"/>
    <w:rsid w:val="00351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5EC"/>
    <w:pPr>
      <w:spacing w:before="60" w:after="60"/>
    </w:pPr>
  </w:style>
  <w:style w:type="paragraph" w:styleId="ListContinue">
    <w:name w:val="List Continue"/>
    <w:basedOn w:val="List"/>
    <w:rsid w:val="003515EC"/>
    <w:pPr>
      <w:ind w:firstLine="0"/>
    </w:pPr>
  </w:style>
  <w:style w:type="paragraph" w:customStyle="1" w:styleId="ListNote">
    <w:name w:val="List Note"/>
    <w:basedOn w:val="List"/>
    <w:rsid w:val="00351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5EC"/>
    <w:rPr>
      <w:rFonts w:ascii="Courier New" w:hAnsi="Courier New"/>
    </w:rPr>
  </w:style>
  <w:style w:type="paragraph" w:customStyle="1" w:styleId="NoteBullet">
    <w:name w:val="Note Bullet"/>
    <w:basedOn w:val="Note"/>
    <w:rsid w:val="00351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5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5EC"/>
    <w:rPr>
      <w:b/>
      <w:smallCaps/>
    </w:rPr>
  </w:style>
  <w:style w:type="paragraph" w:customStyle="1" w:styleId="TableListNumber">
    <w:name w:val="Table List Number"/>
    <w:basedOn w:val="ListNumber"/>
    <w:rsid w:val="00351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5EC"/>
    <w:pPr>
      <w:numPr>
        <w:numId w:val="8"/>
      </w:numPr>
    </w:pPr>
  </w:style>
  <w:style w:type="paragraph" w:customStyle="1" w:styleId="ListAlpha2">
    <w:name w:val="List Alpha 2"/>
    <w:basedOn w:val="List2"/>
    <w:rsid w:val="003515EC"/>
    <w:pPr>
      <w:numPr>
        <w:numId w:val="7"/>
      </w:numPr>
    </w:pPr>
  </w:style>
  <w:style w:type="paragraph" w:styleId="List2">
    <w:name w:val="List 2"/>
    <w:basedOn w:val="BodyText"/>
    <w:rsid w:val="00351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5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5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5EC"/>
    <w:pPr>
      <w:numPr>
        <w:numId w:val="3"/>
      </w:numPr>
    </w:pPr>
  </w:style>
  <w:style w:type="paragraph" w:styleId="ListContinue2">
    <w:name w:val="List Continue 2"/>
    <w:basedOn w:val="List2"/>
    <w:rsid w:val="003515EC"/>
    <w:pPr>
      <w:ind w:firstLine="0"/>
    </w:pPr>
  </w:style>
  <w:style w:type="paragraph" w:styleId="ListContinue3">
    <w:name w:val="List Continue 3"/>
    <w:basedOn w:val="List3"/>
    <w:rsid w:val="003515EC"/>
    <w:pPr>
      <w:ind w:left="1021" w:firstLine="0"/>
    </w:pPr>
  </w:style>
  <w:style w:type="paragraph" w:styleId="ListContinue4">
    <w:name w:val="List Continue 4"/>
    <w:basedOn w:val="List4"/>
    <w:rsid w:val="003515EC"/>
    <w:pPr>
      <w:ind w:firstLine="0"/>
    </w:pPr>
  </w:style>
  <w:style w:type="paragraph" w:styleId="ListContinue5">
    <w:name w:val="List Continue 5"/>
    <w:basedOn w:val="List5"/>
    <w:rsid w:val="003515EC"/>
    <w:pPr>
      <w:ind w:firstLine="0"/>
    </w:pPr>
  </w:style>
  <w:style w:type="paragraph" w:styleId="ListNumber3">
    <w:name w:val="List Number 3"/>
    <w:basedOn w:val="List3"/>
    <w:rsid w:val="003515EC"/>
    <w:pPr>
      <w:numPr>
        <w:numId w:val="4"/>
      </w:numPr>
    </w:pPr>
  </w:style>
  <w:style w:type="paragraph" w:styleId="ListNumber4">
    <w:name w:val="List Number 4"/>
    <w:basedOn w:val="List4"/>
    <w:rsid w:val="003515EC"/>
    <w:pPr>
      <w:numPr>
        <w:numId w:val="5"/>
      </w:numPr>
    </w:pPr>
  </w:style>
  <w:style w:type="paragraph" w:styleId="ListNumber5">
    <w:name w:val="List Number 5"/>
    <w:basedOn w:val="List5"/>
    <w:rsid w:val="003515EC"/>
    <w:pPr>
      <w:numPr>
        <w:numId w:val="6"/>
      </w:numPr>
    </w:pPr>
  </w:style>
  <w:style w:type="paragraph" w:styleId="BlockText">
    <w:name w:val="Block Text"/>
    <w:basedOn w:val="Normal"/>
    <w:rsid w:val="00351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5EC"/>
    <w:rPr>
      <w:sz w:val="16"/>
      <w:vertAlign w:val="superscript"/>
    </w:rPr>
  </w:style>
  <w:style w:type="character" w:customStyle="1" w:styleId="Symbols">
    <w:name w:val="Symbols"/>
    <w:basedOn w:val="DefaultParagraphFont"/>
    <w:rsid w:val="003515EC"/>
    <w:rPr>
      <w:rFonts w:ascii="Symbol" w:hAnsi="Symbol"/>
    </w:rPr>
  </w:style>
  <w:style w:type="character" w:customStyle="1" w:styleId="MenuOptions">
    <w:name w:val="Menu Options"/>
    <w:basedOn w:val="DefaultParagraphFont"/>
    <w:rsid w:val="00351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5EC"/>
    <w:rPr>
      <w:b/>
    </w:rPr>
  </w:style>
  <w:style w:type="character" w:customStyle="1" w:styleId="Underlined">
    <w:name w:val="Underlined"/>
    <w:basedOn w:val="DefaultParagraphFont"/>
    <w:rsid w:val="003515EC"/>
    <w:rPr>
      <w:u w:val="single"/>
    </w:rPr>
  </w:style>
  <w:style w:type="paragraph" w:customStyle="1" w:styleId="TableBodyTextRight">
    <w:name w:val="Table Body Text Right"/>
    <w:basedOn w:val="TableBodyText"/>
    <w:rsid w:val="00351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5EC"/>
    <w:rPr>
      <w:sz w:val="18"/>
    </w:rPr>
  </w:style>
  <w:style w:type="paragraph" w:customStyle="1" w:styleId="BodySmallRight">
    <w:name w:val="Body Small Right"/>
    <w:basedOn w:val="BodyTextRight"/>
    <w:rsid w:val="003515EC"/>
    <w:rPr>
      <w:sz w:val="18"/>
      <w:szCs w:val="18"/>
    </w:rPr>
  </w:style>
  <w:style w:type="paragraph" w:customStyle="1" w:styleId="MarginEdition">
    <w:name w:val="Margin Edition"/>
    <w:basedOn w:val="MarginNote"/>
    <w:rsid w:val="00351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5EC"/>
    <w:rPr>
      <w:sz w:val="2"/>
      <w:szCs w:val="2"/>
    </w:rPr>
  </w:style>
  <w:style w:type="character" w:customStyle="1" w:styleId="Small">
    <w:name w:val="Small"/>
    <w:basedOn w:val="DefaultParagraphFont"/>
    <w:rsid w:val="003515EC"/>
    <w:rPr>
      <w:sz w:val="16"/>
    </w:rPr>
  </w:style>
  <w:style w:type="paragraph" w:customStyle="1" w:styleId="WideTable">
    <w:name w:val="Wide Table"/>
    <w:basedOn w:val="Normal"/>
    <w:rsid w:val="00351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5EC"/>
  </w:style>
  <w:style w:type="paragraph" w:styleId="Quote">
    <w:name w:val="Quote"/>
    <w:basedOn w:val="Heading1"/>
    <w:link w:val="QuoteChar"/>
    <w:qFormat/>
    <w:rsid w:val="00351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5EC"/>
    <w:pPr>
      <w:pageBreakBefore/>
    </w:pPr>
  </w:style>
  <w:style w:type="paragraph" w:customStyle="1" w:styleId="Border">
    <w:name w:val="Border"/>
    <w:basedOn w:val="Normal"/>
    <w:qFormat/>
    <w:rsid w:val="00351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5EC"/>
    <w:rPr>
      <w:u w:val="single"/>
    </w:rPr>
  </w:style>
  <w:style w:type="character" w:customStyle="1" w:styleId="BoldandItalics">
    <w:name w:val="Bold and Italics"/>
    <w:qFormat/>
    <w:rsid w:val="003515EC"/>
    <w:rPr>
      <w:b/>
      <w:i/>
      <w:u w:val="none"/>
    </w:rPr>
  </w:style>
  <w:style w:type="paragraph" w:styleId="BalloonText">
    <w:name w:val="Balloon Text"/>
    <w:basedOn w:val="Normal"/>
    <w:link w:val="BalloonTextChar"/>
    <w:rsid w:val="00351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5EC"/>
    <w:pPr>
      <w:spacing w:before="0" w:after="0"/>
    </w:pPr>
  </w:style>
  <w:style w:type="paragraph" w:customStyle="1" w:styleId="BodyTextBold">
    <w:name w:val="Body Text Bold"/>
    <w:basedOn w:val="BodyText"/>
    <w:qFormat/>
    <w:rsid w:val="003515EC"/>
    <w:rPr>
      <w:b/>
    </w:rPr>
  </w:style>
  <w:style w:type="character" w:styleId="Hyperlink">
    <w:name w:val="Hyperlink"/>
    <w:basedOn w:val="DefaultParagraphFont"/>
    <w:uiPriority w:val="99"/>
    <w:unhideWhenUsed/>
    <w:rsid w:val="00C11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6798</Characters>
  <Application>Microsoft Office Word</Application>
  <DocSecurity>0</DocSecurity>
  <Lines>242</Lines>
  <Paragraphs>144</Paragraphs>
  <ScaleCrop>false</ScaleCrop>
  <Company>Author-it Software Corporation Ltd.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NWPCAD005 Monitor, inspect and report catchment areas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