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374" w:rsidP="002A4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NWPCAD003 Identify and confirm blue-green algae outbreaks</w:t>
      </w:r>
      <w:r>
        <w:fldChar w:fldCharType="end"/>
      </w:r>
    </w:p>
    <w:p w:rsidR="002A4374" w:rsidP="002A4374">
      <w:pPr>
        <w:pStyle w:val="Version"/>
        <w:sectPr w:rsidSect="000A7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2B4" w:rsidP="000A72B4">
      <w:pPr>
        <w:pStyle w:val="SuperHeading"/>
      </w:pPr>
      <w:r w:rsidRPr="000A72B4">
        <w:t>NWPCAD003 Identify and confirm blue-green algae outbreaks</w:t>
      </w:r>
    </w:p>
    <w:p w:rsidR="00000000" w:rsidRPr="000A72B4" w:rsidP="000A72B4">
      <w:pPr>
        <w:pStyle w:val="Heading1"/>
      </w:pPr>
      <w:bookmarkStart w:id="1" w:name="O_1060939"/>
      <w:bookmarkEnd w:id="1"/>
      <w:r w:rsidRPr="000A72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Release 1. This is the first release of this unit of competency in the NWP National Water Training Package.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2" w:name="O_1060940"/>
      <w:bookmarkEnd w:id="2"/>
      <w:r w:rsidRPr="000A72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This unit involves the skills and knowledge required to identify and confirm</w:t>
            </w:r>
            <w:r w:rsidRPr="000A72B4">
              <w:t xml:space="preserve"> blue-green algae outbreaks.</w:t>
            </w:r>
          </w:p>
          <w:p w:rsidR="00000000" w:rsidRPr="000A72B4" w:rsidP="000A72B4">
            <w:pPr>
              <w:pStyle w:val="BodyText"/>
            </w:pPr>
            <w:r w:rsidRPr="000A72B4">
              <w:t>It includes confirming and conducting algae sampling, preparing samples for testing, identifying and enumerating blue-green algae.  It also includes completing documentation.</w:t>
            </w:r>
          </w:p>
          <w:p w:rsidR="00000000" w:rsidRPr="000A72B4" w:rsidP="000A72B4">
            <w:pPr>
              <w:pStyle w:val="BodyText"/>
            </w:pPr>
            <w:r w:rsidRPr="000A72B4">
              <w:t>This unit applies to those working as operational st</w:t>
            </w:r>
            <w:r w:rsidRPr="000A72B4">
              <w:t>aff with a specific responsibility for ensuring that water and/or wastewater quality conforms to organisational standards and complies with statutory requirements.  Those undertaking this unit would work under appropriate supervision, while performing rout</w:t>
            </w:r>
            <w:r w:rsidRPr="000A72B4">
              <w:t>ine tasks within a familiar context.</w:t>
            </w:r>
          </w:p>
          <w:p w:rsidR="00000000" w:rsidRPr="000A72B4" w:rsidP="000A72B4">
            <w:pPr>
              <w:pStyle w:val="BodyText"/>
            </w:pPr>
            <w:r w:rsidRPr="000A72B4">
              <w:t>No licensing, legislative or certification requirements apply to this unit at the time of publication.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3" w:name="O_1060941"/>
      <w:bookmarkEnd w:id="3"/>
      <w:r w:rsidRPr="000A72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Not applicable.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4" w:name="O_1060942"/>
      <w:bookmarkEnd w:id="4"/>
      <w:r w:rsidRPr="000A72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 xml:space="preserve">Catchment and Dams 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5" w:name="O_1060943"/>
      <w:bookmarkEnd w:id="5"/>
      <w:r w:rsidRPr="000A72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Not applicable.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6" w:name="O_1060944"/>
      <w:bookmarkEnd w:id="6"/>
      <w:r w:rsidRPr="000A72B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PERFORMANCE CRITERIA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Performance criteria describe the performance needed to demonstrate achievement of the element.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Confirm and conduct algae sampling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Determine work requirements for identifying and confirming algae outbreaks in line with specifications and instructi</w:t>
            </w:r>
            <w:r w:rsidRPr="000A72B4">
              <w:t xml:space="preserve">ons 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Select and prepare sampling equipment according to specified samples required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Select, fit and use personal protective equipment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Perform algae sampling according to workplace procedures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Maintain integrity of samples during sampling and testing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Label samples according to workplace procedures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Receive and prepare samples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Receive, handle and prepare samples for testing according to workplace procedures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Prepare and check testing equipment for blue-green algae identification and enumeration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Handle algae samples using correct safety procedures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Identify and enumerate blue-green algae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Conduct microscopic examination of algae sample according to workplace procedures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Determine number of cells and calculate cell concentration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Complete data report of the blue-green algae test results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Identify and report observations outside defined parameters to relevant personnel for further action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7" w:name="O_1060945"/>
      <w:bookmarkEnd w:id="7"/>
      <w:r w:rsidRPr="000A72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Foundation skills essential to performance are explicit in the performance criteria of this unit of competency.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8" w:name="O_1060946"/>
      <w:bookmarkEnd w:id="8"/>
      <w:r w:rsidRPr="000A72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 xml:space="preserve">Range is restricted to essential operating conditions and any other variables essential to the work environment. </w:t>
            </w:r>
          </w:p>
          <w:p w:rsidR="00000000" w:rsidRPr="000A72B4" w:rsidP="000A72B4">
            <w:pPr>
              <w:pStyle w:val="BodyText"/>
            </w:pPr>
            <w:r w:rsidRPr="000A72B4">
              <w:t>Non-essential conditions may be found in the Companion Volume Implementation Guide.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9" w:name="O_1060947"/>
      <w:bookmarkEnd w:id="9"/>
      <w:r w:rsidRPr="000A72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 xml:space="preserve">This unit replaces and is equivalent to NWPSOU003 Identify and confirm blue-green algae </w:t>
            </w:r>
            <w:r w:rsidRPr="000A72B4">
              <w:t>outbreaks.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10" w:name="O_1060954"/>
      <w:bookmarkEnd w:id="10"/>
      <w:r w:rsidRPr="000A72B4">
        <w:t>Links</w:t>
      </w:r>
    </w:p>
    <w:p w:rsidR="00000000" w:rsidRPr="000A72B4" w:rsidP="002A4374">
      <w:pPr>
        <w:pStyle w:val="BodyText"/>
      </w:pPr>
      <w:r w:rsidRPr="000A7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30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2B4" w:rsidP="002A4374">
      <w:pPr>
        <w:pStyle w:val="BodyText"/>
      </w:pPr>
      <w:r w:rsidRPr="000A7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30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2B4" w:rsidP="002A4374">
      <w:pPr>
        <w:pStyle w:val="BodyText"/>
      </w:pPr>
      <w:r w:rsidRPr="000A7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30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2B4" w:rsidP="002A4374">
      <w:pPr>
        <w:pStyle w:val="BodyText"/>
        <w:sectPr w:rsidSect="000A72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2B4" w:rsidP="000A72B4">
      <w:pPr>
        <w:pStyle w:val="SuperHeading"/>
      </w:pPr>
      <w:r w:rsidRPr="000A72B4">
        <w:t>Assessment Requirements for NWPCAD003 Identify and confirm blue-green algae outbreaks</w:t>
      </w:r>
    </w:p>
    <w:p w:rsidR="00000000" w:rsidRPr="000A72B4" w:rsidP="000A72B4">
      <w:pPr>
        <w:pStyle w:val="Heading1"/>
      </w:pPr>
      <w:bookmarkStart w:id="11" w:name="O_1060949"/>
      <w:bookmarkEnd w:id="11"/>
      <w:r w:rsidRPr="000A72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>Release 1. This is the first release of this unit of competency in the NWP National Water Training Package.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12" w:name="O_1060950"/>
      <w:bookmarkEnd w:id="12"/>
      <w:r w:rsidRPr="000A72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Evidence required to demonstrate competence in this unit must be relevant to and satisfy all the requireme</w:t>
            </w:r>
            <w:r w:rsidRPr="000A72B4">
              <w:t>nts of the elements and performance criteria on at least one occasion and includes: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ListBullet"/>
            </w:pPr>
            <w:r w:rsidRPr="000A72B4">
              <w:t>conducting blue-green algae identification and enumeration tests</w:t>
            </w:r>
          </w:p>
          <w:p w:rsidR="00000000" w:rsidRPr="000A72B4" w:rsidP="000A72B4">
            <w:pPr>
              <w:pStyle w:val="ListBullet"/>
            </w:pPr>
            <w:r w:rsidRPr="000A72B4">
              <w:t>identifying algae types</w:t>
            </w:r>
          </w:p>
          <w:p w:rsidR="00000000" w:rsidRPr="000A72B4" w:rsidP="000A72B4">
            <w:pPr>
              <w:pStyle w:val="ListBullet"/>
            </w:pPr>
            <w:r w:rsidRPr="000A72B4">
              <w:t>interpreting instructions</w:t>
            </w:r>
          </w:p>
          <w:p w:rsidR="00000000" w:rsidRPr="000A72B4" w:rsidP="000A72B4">
            <w:pPr>
              <w:pStyle w:val="ListBullet"/>
            </w:pPr>
            <w:r w:rsidRPr="000A72B4">
              <w:t>interpreting policies, procedures and standards</w:t>
            </w:r>
          </w:p>
          <w:p w:rsidR="00000000" w:rsidRPr="000A72B4" w:rsidP="000A72B4">
            <w:pPr>
              <w:pStyle w:val="ListBullet"/>
            </w:pPr>
            <w:r w:rsidRPr="000A72B4">
              <w:t>maintai</w:t>
            </w:r>
            <w:r w:rsidRPr="000A72B4">
              <w:t>ning integrity of samples</w:t>
            </w:r>
          </w:p>
          <w:p w:rsidR="00000000" w:rsidRPr="000A72B4" w:rsidP="000A72B4">
            <w:pPr>
              <w:pStyle w:val="ListBullet"/>
            </w:pPr>
            <w:r w:rsidRPr="000A72B4">
              <w:t>performing algae sampling</w:t>
            </w:r>
          </w:p>
          <w:p w:rsidR="00000000" w:rsidRPr="000A72B4" w:rsidP="000A72B4">
            <w:pPr>
              <w:pStyle w:val="ListBullet"/>
            </w:pPr>
            <w:r w:rsidRPr="000A72B4">
              <w:t>performing calculations including:</w:t>
            </w:r>
          </w:p>
          <w:p w:rsidR="00000000" w:rsidRPr="000A72B4" w:rsidP="000A72B4">
            <w:pPr>
              <w:pStyle w:val="ListBullet2"/>
            </w:pPr>
            <w:r w:rsidRPr="000A72B4">
              <w:t>cell concentration</w:t>
            </w:r>
          </w:p>
          <w:p w:rsidR="00000000" w:rsidRPr="000A72B4" w:rsidP="000A72B4">
            <w:pPr>
              <w:pStyle w:val="ListBullet2"/>
            </w:pPr>
            <w:r w:rsidRPr="000A72B4">
              <w:t>Sedgwick-Rafter Counting Chamber</w:t>
            </w:r>
          </w:p>
          <w:p w:rsidR="00000000" w:rsidRPr="000A72B4" w:rsidP="000A72B4">
            <w:pPr>
              <w:pStyle w:val="ListBullet"/>
            </w:pPr>
            <w:r w:rsidRPr="000A72B4">
              <w:t>recording information and reporting data</w:t>
            </w:r>
          </w:p>
          <w:p w:rsidR="00000000" w:rsidRPr="000A72B4" w:rsidP="000A72B4">
            <w:pPr>
              <w:pStyle w:val="ListBullet"/>
            </w:pPr>
            <w:r w:rsidRPr="000A72B4">
              <w:t>reporting test results</w:t>
            </w:r>
          </w:p>
          <w:p w:rsidR="00000000" w:rsidRPr="000A72B4" w:rsidP="000A72B4">
            <w:pPr>
              <w:pStyle w:val="ListBullet"/>
            </w:pPr>
            <w:r w:rsidRPr="000A72B4">
              <w:t>using at least one of the following sampling techniques:</w:t>
            </w:r>
          </w:p>
          <w:p w:rsidR="00000000" w:rsidRPr="000A72B4" w:rsidP="000A72B4">
            <w:pPr>
              <w:pStyle w:val="ListBullet2"/>
            </w:pPr>
            <w:r w:rsidRPr="000A72B4">
              <w:t>concentrated</w:t>
            </w:r>
          </w:p>
          <w:p w:rsidR="00000000" w:rsidRPr="000A72B4" w:rsidP="000A72B4">
            <w:pPr>
              <w:pStyle w:val="ListBullet2"/>
            </w:pPr>
            <w:r w:rsidRPr="000A72B4">
              <w:t>grab</w:t>
            </w:r>
          </w:p>
          <w:p w:rsidR="00000000" w:rsidRPr="000A72B4" w:rsidP="000A72B4">
            <w:pPr>
              <w:pStyle w:val="ListBullet2"/>
            </w:pPr>
            <w:r w:rsidRPr="000A72B4">
              <w:t>integrated</w:t>
            </w:r>
          </w:p>
          <w:p w:rsidR="00000000" w:rsidRPr="000A72B4" w:rsidP="000A72B4">
            <w:pPr>
              <w:pStyle w:val="ListBullet"/>
            </w:pPr>
            <w:r w:rsidRPr="000A72B4">
              <w:t>using safety and personal protective equipment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13" w:name="O_1060951"/>
      <w:bookmarkEnd w:id="13"/>
      <w:r w:rsidRPr="000A72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2B4">
            <w:pPr>
              <w:pStyle w:val="BodyText"/>
              <w:rPr>
                <w:lang w:val="en-NZ"/>
              </w:rPr>
            </w:pPr>
            <w:r w:rsidRPr="000A72B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ListBullet"/>
            </w:pPr>
            <w:r w:rsidRPr="000A72B4">
              <w:t>characteristics of algae</w:t>
            </w:r>
          </w:p>
          <w:p w:rsidR="00000000" w:rsidRPr="000A72B4" w:rsidP="000A72B4">
            <w:pPr>
              <w:pStyle w:val="ListBullet"/>
            </w:pPr>
            <w:r w:rsidRPr="000A72B4">
              <w:t xml:space="preserve">effects of weather on algae blooms </w:t>
            </w:r>
          </w:p>
          <w:p w:rsidR="00000000" w:rsidRPr="000A72B4" w:rsidP="000A72B4">
            <w:pPr>
              <w:pStyle w:val="ListBullet"/>
            </w:pPr>
            <w:r w:rsidRPr="000A72B4">
              <w:t>environmental f</w:t>
            </w:r>
            <w:r w:rsidRPr="000A72B4">
              <w:t>actors which favour the growth of algae</w:t>
            </w:r>
          </w:p>
          <w:p w:rsidR="00000000" w:rsidRPr="000A72B4" w:rsidP="000A72B4">
            <w:pPr>
              <w:pStyle w:val="ListBullet"/>
            </w:pPr>
            <w:r w:rsidRPr="000A72B4">
              <w:t>hazards associated with collection and handling of blue-green algae samples</w:t>
            </w:r>
          </w:p>
          <w:p w:rsidR="00000000" w:rsidRPr="000A72B4" w:rsidP="000A72B4">
            <w:pPr>
              <w:pStyle w:val="ListBullet"/>
            </w:pPr>
            <w:r w:rsidRPr="000A72B4">
              <w:t>impact of blue-green algae on water and/or wastewater treatment processes</w:t>
            </w:r>
          </w:p>
          <w:p w:rsidR="00000000" w:rsidRPr="000A72B4" w:rsidP="000A72B4">
            <w:pPr>
              <w:pStyle w:val="ListBullet"/>
            </w:pPr>
            <w:r w:rsidRPr="000A72B4">
              <w:t>problems caused by algal blooms</w:t>
            </w:r>
          </w:p>
          <w:p w:rsidR="00000000" w:rsidRPr="000A72B4" w:rsidP="000A72B4">
            <w:pPr>
              <w:pStyle w:val="ListBullet"/>
            </w:pPr>
            <w:r w:rsidRPr="000A72B4">
              <w:t xml:space="preserve">procedures and techniques for all </w:t>
            </w:r>
            <w:r w:rsidRPr="000A72B4">
              <w:t>algae sampling</w:t>
            </w:r>
          </w:p>
          <w:p w:rsidR="00000000" w:rsidRPr="000A72B4" w:rsidP="000A72B4">
            <w:pPr>
              <w:pStyle w:val="ListBullet"/>
            </w:pPr>
            <w:r w:rsidRPr="000A72B4">
              <w:t>relevant legislation, regulations and workplace procedures</w:t>
            </w:r>
          </w:p>
          <w:p w:rsidR="00000000" w:rsidRPr="000A72B4" w:rsidP="000A72B4">
            <w:pPr>
              <w:pStyle w:val="ListBullet"/>
            </w:pPr>
            <w:r w:rsidRPr="000A72B4">
              <w:t>sampling and testing of water quality parameters related to algae growth</w:t>
            </w:r>
          </w:p>
          <w:p w:rsidR="00000000" w:rsidRPr="000A72B4" w:rsidP="000A72B4">
            <w:pPr>
              <w:pStyle w:val="ListBullet"/>
            </w:pPr>
            <w:r w:rsidRPr="000A72B4">
              <w:t>types and purposes of algae samples</w:t>
            </w:r>
          </w:p>
        </w:tc>
      </w:tr>
    </w:tbl>
    <w:p w:rsidR="002A4374" w:rsidP="000A72B4">
      <w:pPr>
        <w:pStyle w:val="NoPaddingFontSize1"/>
      </w:pPr>
    </w:p>
    <w:p w:rsidR="002A4374" w:rsidP="000A72B4">
      <w:pPr>
        <w:pStyle w:val="NoPaddingFontSize1"/>
      </w:pPr>
    </w:p>
    <w:p w:rsidR="00000000" w:rsidRPr="000A72B4" w:rsidP="000A72B4">
      <w:pPr>
        <w:pStyle w:val="Heading1"/>
      </w:pPr>
      <w:bookmarkStart w:id="14" w:name="O_1060952"/>
      <w:bookmarkEnd w:id="14"/>
      <w:r w:rsidRPr="000A72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2B4" w:rsidP="000A72B4">
            <w:pPr>
              <w:pStyle w:val="BodyText"/>
            </w:pPr>
            <w:r w:rsidRPr="000A72B4">
              <w:t xml:space="preserve">Assessors must hold credentials specified within the Standards for Registered Training Organisations current at the time of assessment. </w:t>
            </w:r>
          </w:p>
          <w:p w:rsidR="00000000" w:rsidRPr="000A72B4" w:rsidP="000A72B4">
            <w:pPr>
              <w:pStyle w:val="BodyText"/>
            </w:pPr>
            <w:r w:rsidRPr="000A72B4">
              <w:t>Assessment must satisfy the Principles of Assessment and Rules of Evidence and all regulatory requirements included wit</w:t>
            </w:r>
            <w:r w:rsidRPr="000A72B4">
              <w:t>hin the Standards for Registered Training Organisations current at the time of assessment.</w:t>
            </w:r>
          </w:p>
          <w:p w:rsidR="00000000" w:rsidRPr="000A72B4" w:rsidP="000A72B4">
            <w:pPr>
              <w:pStyle w:val="BodyText"/>
            </w:pPr>
            <w:r w:rsidRPr="000A72B4">
              <w:t>Assessment must occur in workplace operational situations where it is appropriate to do so; where this is not appropriate, assessment must occur in simulated workpla</w:t>
            </w:r>
            <w:r w:rsidRPr="000A72B4">
              <w:t>ce operational situations that replicate workplace conditions.</w:t>
            </w:r>
          </w:p>
          <w:p w:rsidR="00000000" w:rsidRPr="000A72B4" w:rsidP="000A72B4">
            <w:pPr>
              <w:pStyle w:val="BodyText"/>
            </w:pPr>
            <w:r w:rsidRPr="000A72B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72B4" w:rsidP="000A72B4">
            <w:pPr>
              <w:pStyle w:val="BodyText"/>
            </w:pPr>
            <w:r w:rsidRPr="000A72B4">
              <w:t xml:space="preserve">Resources for assessment </w:t>
            </w:r>
            <w:r w:rsidRPr="000A72B4">
              <w:t>must include access to:</w:t>
            </w:r>
          </w:p>
          <w:p w:rsidR="00000000" w:rsidRPr="000A72B4" w:rsidP="000A72B4">
            <w:pPr>
              <w:pStyle w:val="ListBullet"/>
            </w:pPr>
            <w:r w:rsidRPr="000A72B4">
              <w:t>relevant and appropriate materials, tools, equipment and personal protective equipment currently used in industry</w:t>
            </w:r>
          </w:p>
          <w:p w:rsidR="00000000" w:rsidRPr="000A72B4" w:rsidP="000A72B4">
            <w:pPr>
              <w:pStyle w:val="ListBullet"/>
            </w:pPr>
            <w:r w:rsidRPr="000A72B4">
              <w:t>applicable documentation including legislation, regulations, codes of practice, workplace procedures and operation manuals.</w:t>
            </w:r>
          </w:p>
        </w:tc>
      </w:tr>
    </w:tbl>
    <w:p w:rsidR="00000000" w:rsidRPr="000A72B4" w:rsidP="000A72B4">
      <w:pPr>
        <w:pStyle w:val="NoPaddingFontSize1"/>
      </w:pPr>
    </w:p>
    <w:p w:rsidR="00000000" w:rsidRPr="000A72B4" w:rsidP="000A72B4">
      <w:pPr>
        <w:pStyle w:val="AllowPageBreak"/>
      </w:pPr>
    </w:p>
    <w:p w:rsidR="00000000" w:rsidRPr="000A72B4" w:rsidP="000A72B4">
      <w:pPr>
        <w:pStyle w:val="Heading1"/>
      </w:pPr>
      <w:bookmarkStart w:id="15" w:name="O_1060955"/>
      <w:bookmarkEnd w:id="15"/>
      <w:r w:rsidRPr="000A72B4">
        <w:t>Links</w:t>
      </w:r>
    </w:p>
    <w:p w:rsidR="00000000" w:rsidRPr="000A72B4" w:rsidP="002A4374">
      <w:pPr>
        <w:pStyle w:val="BodyText"/>
      </w:pPr>
      <w:r w:rsidRPr="000A7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30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2B4" w:rsidP="002A4374">
      <w:pPr>
        <w:pStyle w:val="BodyText"/>
      </w:pPr>
      <w:r w:rsidRPr="000A7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30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2B4" w:rsidP="002A4374">
      <w:pPr>
        <w:pStyle w:val="BodyText"/>
      </w:pPr>
      <w:r w:rsidRPr="000A7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30F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A72B4" w:rsidP="000A72B4"/>
    <w:sectPr w:rsidSect="000A72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 w:rsidRPr="002A4374" w:rsidP="002A4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74" w:rsidP="000A7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374" w:rsidP="000A7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4374" w:rsidP="000A72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 w:rsidP="000A7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374">
      <w:t>Approved</w:t>
    </w:r>
    <w:r w:rsidR="002A43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3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374">
      <w:rPr>
        <w:noProof/>
      </w:rPr>
      <w:t>4</w:t>
    </w:r>
    <w:r>
      <w:rPr>
        <w:noProof/>
      </w:rPr>
      <w:fldChar w:fldCharType="end"/>
    </w:r>
  </w:p>
  <w:p w:rsidR="000A72B4" w:rsidP="000A7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3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374">
      <w:t>BuildSkills Australia</w:t>
    </w:r>
    <w:r w:rsidR="002A4374">
      <w:fldChar w:fldCharType="end"/>
    </w:r>
  </w:p>
  <w:p w:rsidR="000A72B4" w:rsidP="000A7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2B4" w:rsidRPr="002A4374" w:rsidP="002A4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74" w:rsidRPr="002D2AF8" w:rsidP="000A7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NWPCAD003 Identify and confirm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374" w:rsidP="000A72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2B4" w:rsidRPr="002D2AF8" w:rsidP="000A7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374">
      <w:t>NWPCAD003 Identify and confirm blue-green algae outbreaks</w:t>
    </w:r>
    <w:r w:rsidR="002A43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374">
      <w:rPr>
        <w:noProof/>
      </w:rPr>
      <w:t>2 March 2025</w:t>
    </w:r>
    <w:r>
      <w:fldChar w:fldCharType="end"/>
    </w:r>
  </w:p>
  <w:p w:rsidR="000A72B4" w:rsidP="000A7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20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89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88B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2B4"/>
  </w:style>
  <w:style w:type="character" w:customStyle="1" w:styleId="Heading1Char">
    <w:name w:val="Heading 1 Char"/>
    <w:basedOn w:val="DefaultParagraphFont"/>
    <w:link w:val="Heading1"/>
    <w:rsid w:val="000A7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2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2B4"/>
    <w:rPr>
      <w:b/>
      <w:spacing w:val="0"/>
    </w:rPr>
  </w:style>
  <w:style w:type="paragraph" w:styleId="ListBullet2">
    <w:name w:val="List Bullet 2"/>
    <w:basedOn w:val="List2"/>
    <w:rsid w:val="000A72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7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2B4"/>
    <w:rPr>
      <w:i/>
    </w:rPr>
  </w:style>
  <w:style w:type="paragraph" w:styleId="Caption">
    <w:name w:val="caption"/>
    <w:basedOn w:val="BodyText"/>
    <w:next w:val="Normal"/>
    <w:qFormat/>
    <w:rsid w:val="000A7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2B4"/>
  </w:style>
  <w:style w:type="paragraph" w:styleId="TableofFigures">
    <w:name w:val="table of figures"/>
    <w:basedOn w:val="Normal"/>
    <w:next w:val="Normal"/>
    <w:semiHidden/>
    <w:rsid w:val="000A7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2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2B4"/>
    <w:rPr>
      <w:rFonts w:ascii="Wingdings" w:hAnsi="Wingdings"/>
    </w:rPr>
  </w:style>
  <w:style w:type="paragraph" w:customStyle="1" w:styleId="TableHeading">
    <w:name w:val="Table Heading"/>
    <w:basedOn w:val="HeadingBase"/>
    <w:rsid w:val="000A7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2B4"/>
    <w:rPr>
      <w:color w:val="0033CC"/>
      <w:u w:val="none"/>
    </w:rPr>
  </w:style>
  <w:style w:type="paragraph" w:customStyle="1" w:styleId="BodyTextRight">
    <w:name w:val="Body Text Right"/>
    <w:basedOn w:val="BodyText"/>
    <w:rsid w:val="000A7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2B4"/>
    <w:rPr>
      <w:sz w:val="32"/>
    </w:rPr>
  </w:style>
  <w:style w:type="paragraph" w:customStyle="1" w:styleId="HeadingProcedure">
    <w:name w:val="Heading Procedure"/>
    <w:basedOn w:val="HeadingBase"/>
    <w:next w:val="Normal"/>
    <w:rsid w:val="000A7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2B4"/>
    <w:pPr>
      <w:spacing w:before="60" w:after="60"/>
    </w:pPr>
  </w:style>
  <w:style w:type="paragraph" w:styleId="ListContinue">
    <w:name w:val="List Continue"/>
    <w:basedOn w:val="List"/>
    <w:rsid w:val="000A72B4"/>
    <w:pPr>
      <w:ind w:firstLine="0"/>
    </w:pPr>
  </w:style>
  <w:style w:type="paragraph" w:customStyle="1" w:styleId="ListNote">
    <w:name w:val="List Note"/>
    <w:basedOn w:val="List"/>
    <w:rsid w:val="000A7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2B4"/>
    <w:rPr>
      <w:rFonts w:ascii="Courier New" w:hAnsi="Courier New"/>
    </w:rPr>
  </w:style>
  <w:style w:type="paragraph" w:customStyle="1" w:styleId="NoteBullet">
    <w:name w:val="Note Bullet"/>
    <w:basedOn w:val="Note"/>
    <w:rsid w:val="000A7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2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2B4"/>
    <w:rPr>
      <w:b/>
      <w:smallCaps/>
    </w:rPr>
  </w:style>
  <w:style w:type="paragraph" w:customStyle="1" w:styleId="TableListNumber">
    <w:name w:val="Table List Number"/>
    <w:basedOn w:val="ListNumber"/>
    <w:rsid w:val="000A7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2B4"/>
    <w:pPr>
      <w:numPr>
        <w:numId w:val="9"/>
      </w:numPr>
    </w:pPr>
  </w:style>
  <w:style w:type="paragraph" w:customStyle="1" w:styleId="ListAlpha2">
    <w:name w:val="List Alpha 2"/>
    <w:basedOn w:val="List2"/>
    <w:rsid w:val="000A72B4"/>
    <w:pPr>
      <w:numPr>
        <w:numId w:val="8"/>
      </w:numPr>
    </w:pPr>
  </w:style>
  <w:style w:type="paragraph" w:styleId="List2">
    <w:name w:val="List 2"/>
    <w:basedOn w:val="BodyText"/>
    <w:rsid w:val="000A7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2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2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2B4"/>
    <w:pPr>
      <w:numPr>
        <w:numId w:val="4"/>
      </w:numPr>
    </w:pPr>
  </w:style>
  <w:style w:type="paragraph" w:styleId="ListContinue2">
    <w:name w:val="List Continue 2"/>
    <w:basedOn w:val="List2"/>
    <w:rsid w:val="000A72B4"/>
    <w:pPr>
      <w:ind w:firstLine="0"/>
    </w:pPr>
  </w:style>
  <w:style w:type="paragraph" w:styleId="ListContinue3">
    <w:name w:val="List Continue 3"/>
    <w:basedOn w:val="List3"/>
    <w:rsid w:val="000A72B4"/>
    <w:pPr>
      <w:ind w:left="1021" w:firstLine="0"/>
    </w:pPr>
  </w:style>
  <w:style w:type="paragraph" w:styleId="ListContinue4">
    <w:name w:val="List Continue 4"/>
    <w:basedOn w:val="List4"/>
    <w:rsid w:val="000A72B4"/>
    <w:pPr>
      <w:ind w:firstLine="0"/>
    </w:pPr>
  </w:style>
  <w:style w:type="paragraph" w:styleId="ListContinue5">
    <w:name w:val="List Continue 5"/>
    <w:basedOn w:val="List5"/>
    <w:rsid w:val="000A72B4"/>
    <w:pPr>
      <w:ind w:firstLine="0"/>
    </w:pPr>
  </w:style>
  <w:style w:type="paragraph" w:styleId="ListNumber3">
    <w:name w:val="List Number 3"/>
    <w:basedOn w:val="List3"/>
    <w:rsid w:val="000A72B4"/>
    <w:pPr>
      <w:numPr>
        <w:numId w:val="5"/>
      </w:numPr>
    </w:pPr>
  </w:style>
  <w:style w:type="paragraph" w:styleId="ListNumber4">
    <w:name w:val="List Number 4"/>
    <w:basedOn w:val="List4"/>
    <w:rsid w:val="000A72B4"/>
    <w:pPr>
      <w:numPr>
        <w:numId w:val="6"/>
      </w:numPr>
    </w:pPr>
  </w:style>
  <w:style w:type="paragraph" w:styleId="ListNumber5">
    <w:name w:val="List Number 5"/>
    <w:basedOn w:val="List5"/>
    <w:rsid w:val="000A72B4"/>
    <w:pPr>
      <w:numPr>
        <w:numId w:val="7"/>
      </w:numPr>
    </w:pPr>
  </w:style>
  <w:style w:type="paragraph" w:styleId="BlockText">
    <w:name w:val="Block Text"/>
    <w:basedOn w:val="Normal"/>
    <w:rsid w:val="000A7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2B4"/>
    <w:rPr>
      <w:sz w:val="16"/>
      <w:vertAlign w:val="superscript"/>
    </w:rPr>
  </w:style>
  <w:style w:type="character" w:customStyle="1" w:styleId="Symbols">
    <w:name w:val="Symbols"/>
    <w:basedOn w:val="DefaultParagraphFont"/>
    <w:rsid w:val="000A72B4"/>
    <w:rPr>
      <w:rFonts w:ascii="Symbol" w:hAnsi="Symbol"/>
    </w:rPr>
  </w:style>
  <w:style w:type="character" w:customStyle="1" w:styleId="MenuOptions">
    <w:name w:val="Menu Options"/>
    <w:basedOn w:val="DefaultParagraphFont"/>
    <w:rsid w:val="000A7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2B4"/>
    <w:rPr>
      <w:b/>
    </w:rPr>
  </w:style>
  <w:style w:type="character" w:customStyle="1" w:styleId="Underlined">
    <w:name w:val="Underlined"/>
    <w:basedOn w:val="DefaultParagraphFont"/>
    <w:rsid w:val="000A72B4"/>
    <w:rPr>
      <w:u w:val="single"/>
    </w:rPr>
  </w:style>
  <w:style w:type="paragraph" w:customStyle="1" w:styleId="TableBodyTextRight">
    <w:name w:val="Table Body Text Right"/>
    <w:basedOn w:val="TableBodyText"/>
    <w:rsid w:val="000A7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2B4"/>
    <w:rPr>
      <w:sz w:val="18"/>
    </w:rPr>
  </w:style>
  <w:style w:type="paragraph" w:customStyle="1" w:styleId="BodySmallRight">
    <w:name w:val="Body Small Right"/>
    <w:basedOn w:val="BodyTextRight"/>
    <w:rsid w:val="000A72B4"/>
    <w:rPr>
      <w:sz w:val="18"/>
      <w:szCs w:val="18"/>
    </w:rPr>
  </w:style>
  <w:style w:type="paragraph" w:customStyle="1" w:styleId="MarginEdition">
    <w:name w:val="Margin Edition"/>
    <w:basedOn w:val="MarginNote"/>
    <w:rsid w:val="000A7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2B4"/>
    <w:rPr>
      <w:sz w:val="2"/>
      <w:szCs w:val="2"/>
    </w:rPr>
  </w:style>
  <w:style w:type="character" w:customStyle="1" w:styleId="Small">
    <w:name w:val="Small"/>
    <w:basedOn w:val="DefaultParagraphFont"/>
    <w:rsid w:val="000A72B4"/>
    <w:rPr>
      <w:sz w:val="16"/>
    </w:rPr>
  </w:style>
  <w:style w:type="paragraph" w:customStyle="1" w:styleId="WideTable">
    <w:name w:val="Wide Table"/>
    <w:basedOn w:val="Normal"/>
    <w:rsid w:val="000A7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2B4"/>
  </w:style>
  <w:style w:type="paragraph" w:styleId="Quote">
    <w:name w:val="Quote"/>
    <w:basedOn w:val="Heading1"/>
    <w:link w:val="QuoteChar"/>
    <w:qFormat/>
    <w:rsid w:val="000A7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2B4"/>
    <w:pPr>
      <w:pageBreakBefore/>
    </w:pPr>
  </w:style>
  <w:style w:type="paragraph" w:customStyle="1" w:styleId="Border">
    <w:name w:val="Border"/>
    <w:basedOn w:val="Normal"/>
    <w:qFormat/>
    <w:rsid w:val="000A7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2B4"/>
    <w:rPr>
      <w:u w:val="single"/>
    </w:rPr>
  </w:style>
  <w:style w:type="character" w:customStyle="1" w:styleId="BoldandItalics">
    <w:name w:val="Bold and Italics"/>
    <w:qFormat/>
    <w:rsid w:val="000A72B4"/>
    <w:rPr>
      <w:b/>
      <w:i/>
      <w:u w:val="none"/>
    </w:rPr>
  </w:style>
  <w:style w:type="paragraph" w:styleId="BalloonText">
    <w:name w:val="Balloon Text"/>
    <w:basedOn w:val="Normal"/>
    <w:link w:val="BalloonTextChar"/>
    <w:rsid w:val="000A7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2B4"/>
    <w:pPr>
      <w:spacing w:before="0" w:after="0"/>
    </w:pPr>
  </w:style>
  <w:style w:type="paragraph" w:customStyle="1" w:styleId="BodyTextBold">
    <w:name w:val="Body Text Bold"/>
    <w:basedOn w:val="BodyText"/>
    <w:qFormat/>
    <w:rsid w:val="000A72B4"/>
    <w:rPr>
      <w:b/>
    </w:rPr>
  </w:style>
  <w:style w:type="character" w:styleId="Hyperlink">
    <w:name w:val="Hyperlink"/>
    <w:basedOn w:val="DefaultParagraphFont"/>
    <w:uiPriority w:val="99"/>
    <w:unhideWhenUsed/>
    <w:rsid w:val="002A4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6329</Characters>
  <Application>Microsoft Office Word</Application>
  <DocSecurity>0</DocSecurity>
  <Lines>226</Lines>
  <Paragraphs>139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NWPCAD003 Identify and confirm blue-green algae outbreaks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