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7F4" w:rsidP="00AD07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NWPCAD001 Respond to blue-green algae outbreaks</w:t>
      </w:r>
      <w:r>
        <w:fldChar w:fldCharType="end"/>
      </w:r>
    </w:p>
    <w:p w:rsidR="00AD07F4" w:rsidP="00AD07F4">
      <w:pPr>
        <w:pStyle w:val="Version"/>
        <w:sectPr w:rsidSect="00AF2E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EBF" w:rsidP="00AF2EBF">
      <w:pPr>
        <w:pStyle w:val="SuperHeading"/>
      </w:pPr>
      <w:r w:rsidRPr="00AF2EBF">
        <w:t>NWPCAD001 Respond to blue-green algae outbreaks</w:t>
      </w:r>
    </w:p>
    <w:p w:rsidR="00000000" w:rsidRPr="00AF2EBF" w:rsidP="00AF2EBF">
      <w:pPr>
        <w:pStyle w:val="Heading1"/>
      </w:pPr>
      <w:bookmarkStart w:id="1" w:name="O_1060823"/>
      <w:bookmarkEnd w:id="1"/>
      <w:r w:rsidRPr="00AF2E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 w:rsidP="00AF2EBF">
            <w:pPr>
              <w:pStyle w:val="BodyText"/>
            </w:pPr>
            <w:r w:rsidRPr="00AF2EBF">
              <w:t>Release 1. This is the first release of this unit of competency in the NWP National Water Training Package.</w:t>
            </w:r>
          </w:p>
        </w:tc>
      </w:tr>
    </w:tbl>
    <w:p w:rsidR="00000000" w:rsidRPr="00AF2EBF" w:rsidP="00AF2EBF">
      <w:pPr>
        <w:pStyle w:val="NoPaddingFontSize1"/>
      </w:pPr>
    </w:p>
    <w:p w:rsidR="00000000" w:rsidRPr="00AF2EBF" w:rsidP="00AF2EBF">
      <w:pPr>
        <w:pStyle w:val="AllowPageBreak"/>
      </w:pPr>
    </w:p>
    <w:p w:rsidR="00000000" w:rsidRPr="00AF2EBF" w:rsidP="00AF2EBF">
      <w:pPr>
        <w:pStyle w:val="Heading1"/>
      </w:pPr>
      <w:bookmarkStart w:id="2" w:name="O_1060824"/>
      <w:bookmarkEnd w:id="2"/>
      <w:r w:rsidRPr="00AF2EB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 w:rsidP="00AF2EBF">
            <w:pPr>
              <w:pStyle w:val="BodyText"/>
            </w:pPr>
            <w:r w:rsidRPr="00AF2EBF">
              <w:t>This unit involves the skills and knowledge required to respond to blue-green algae o</w:t>
            </w:r>
            <w:r w:rsidRPr="00AF2EBF">
              <w:t>utbreaks.</w:t>
            </w:r>
          </w:p>
          <w:p w:rsidR="00000000" w:rsidRPr="00AF2EBF" w:rsidP="00AF2EBF">
            <w:pPr>
              <w:pStyle w:val="BodyText"/>
            </w:pPr>
            <w:r w:rsidRPr="00AF2EBF">
              <w:t>It includes identifying problems, conducting sampling, determining and applying technical adjustments and producing technical reports.</w:t>
            </w:r>
          </w:p>
          <w:p w:rsidR="00000000" w:rsidRPr="00AF2EBF" w:rsidP="00AF2EBF">
            <w:pPr>
              <w:pStyle w:val="BodyText"/>
            </w:pPr>
            <w:r w:rsidRPr="00AF2EBF">
              <w:t>This unit applies to those working as field staff members with specific responsibilities for responding to blue</w:t>
            </w:r>
            <w:r w:rsidRPr="00AF2EBF">
              <w:t>-green algae outbreaks.</w:t>
            </w:r>
          </w:p>
          <w:p w:rsidR="00000000" w:rsidRPr="00AF2EBF" w:rsidP="00AF2EBF">
            <w:pPr>
              <w:pStyle w:val="BodyText"/>
            </w:pPr>
            <w:r w:rsidRPr="00AF2EBF">
              <w:t>No licensing, legislative or certification requirements apply to this unit at the time of publication.</w:t>
            </w:r>
          </w:p>
        </w:tc>
      </w:tr>
    </w:tbl>
    <w:p w:rsidR="00000000" w:rsidRPr="00AF2EBF" w:rsidP="00AF2EBF">
      <w:pPr>
        <w:pStyle w:val="NoPaddingFontSize1"/>
      </w:pPr>
    </w:p>
    <w:p w:rsidR="00000000" w:rsidRPr="00AF2EBF" w:rsidP="00AF2EBF">
      <w:pPr>
        <w:pStyle w:val="AllowPageBreak"/>
      </w:pPr>
    </w:p>
    <w:p w:rsidR="00000000" w:rsidRPr="00AF2EBF" w:rsidP="00AF2EBF">
      <w:pPr>
        <w:pStyle w:val="Heading1"/>
      </w:pPr>
      <w:bookmarkStart w:id="3" w:name="O_1060825"/>
      <w:bookmarkEnd w:id="3"/>
      <w:r w:rsidRPr="00AF2EB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 w:rsidP="00AF2EBF">
            <w:pPr>
              <w:pStyle w:val="BodyText"/>
            </w:pPr>
            <w:r w:rsidRPr="00AF2EBF">
              <w:t>Not applicable.</w:t>
            </w:r>
          </w:p>
        </w:tc>
      </w:tr>
    </w:tbl>
    <w:p w:rsidR="00000000" w:rsidRPr="00AF2EBF" w:rsidP="00AF2EBF">
      <w:pPr>
        <w:pStyle w:val="NoPaddingFontSize1"/>
      </w:pPr>
    </w:p>
    <w:p w:rsidR="00000000" w:rsidRPr="00AF2EBF" w:rsidP="00AF2EBF">
      <w:pPr>
        <w:pStyle w:val="AllowPageBreak"/>
      </w:pPr>
    </w:p>
    <w:p w:rsidR="00000000" w:rsidRPr="00AF2EBF" w:rsidP="00AF2EBF">
      <w:pPr>
        <w:pStyle w:val="Heading1"/>
      </w:pPr>
      <w:bookmarkStart w:id="4" w:name="O_1060826"/>
      <w:bookmarkEnd w:id="4"/>
      <w:r w:rsidRPr="00AF2EB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 w:rsidP="00AF2EBF">
            <w:pPr>
              <w:pStyle w:val="BodyText"/>
            </w:pPr>
            <w:r w:rsidRPr="00AF2EBF">
              <w:t>Catchment and Dams</w:t>
            </w:r>
          </w:p>
        </w:tc>
      </w:tr>
    </w:tbl>
    <w:p w:rsidR="00000000" w:rsidRPr="00AF2EBF" w:rsidP="00AF2EBF">
      <w:pPr>
        <w:pStyle w:val="NoPaddingFontSize1"/>
      </w:pPr>
    </w:p>
    <w:p w:rsidR="00000000" w:rsidRPr="00AF2EBF" w:rsidP="00AF2EBF">
      <w:pPr>
        <w:pStyle w:val="AllowPageBreak"/>
      </w:pPr>
    </w:p>
    <w:p w:rsidR="00000000" w:rsidRPr="00AF2EBF" w:rsidP="00AF2EBF">
      <w:pPr>
        <w:pStyle w:val="Heading1"/>
      </w:pPr>
      <w:bookmarkStart w:id="5" w:name="O_1060827"/>
      <w:bookmarkEnd w:id="5"/>
      <w:r w:rsidRPr="00AF2EB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 w:rsidP="00AF2EBF">
            <w:pPr>
              <w:pStyle w:val="BodyText"/>
            </w:pPr>
            <w:r w:rsidRPr="00AF2EBF">
              <w:t>Not applicable.</w:t>
            </w:r>
          </w:p>
        </w:tc>
      </w:tr>
    </w:tbl>
    <w:p w:rsidR="00000000" w:rsidRPr="00AF2EBF" w:rsidP="00AF2EBF">
      <w:pPr>
        <w:pStyle w:val="NoPaddingFontSize1"/>
      </w:pPr>
    </w:p>
    <w:p w:rsidR="00000000" w:rsidRPr="00AF2EBF" w:rsidP="00AF2EBF">
      <w:pPr>
        <w:pStyle w:val="AllowPageBreak"/>
      </w:pPr>
    </w:p>
    <w:p w:rsidR="00000000" w:rsidRPr="00AF2EBF" w:rsidP="00AF2EBF">
      <w:pPr>
        <w:pStyle w:val="Heading1"/>
      </w:pPr>
      <w:bookmarkStart w:id="6" w:name="O_1060828"/>
      <w:bookmarkEnd w:id="6"/>
      <w:r w:rsidRPr="00AF2EB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 w:rsidP="00AF2EBF">
            <w:pPr>
              <w:pStyle w:val="BodyText"/>
            </w:pPr>
            <w:r w:rsidRPr="00AF2EB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rPr>
                <w:rStyle w:val="SpecialBold"/>
              </w:rPr>
              <w:t>PERFORMANCE CRITERIA</w:t>
            </w:r>
          </w:p>
        </w:tc>
      </w:tr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t>Performance criteria describe the performance needed to demonstrate achievement of the element.</w:t>
            </w:r>
          </w:p>
        </w:tc>
      </w:tr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 w:rsidP="00AF2EBF">
            <w:pPr>
              <w:pStyle w:val="BodyText"/>
            </w:pPr>
            <w:r w:rsidRPr="00AF2EB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 w:rsidP="00AF2EBF">
            <w:pPr>
              <w:pStyle w:val="BodyText"/>
            </w:pPr>
            <w:r w:rsidRPr="00AF2EBF">
              <w:rPr>
                <w:rStyle w:val="SpecialBold"/>
              </w:rPr>
              <w:t>Confirm blue-green algae outbreak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t>Receive and confirm reports of blue-green algae outbreak</w:t>
            </w:r>
          </w:p>
        </w:tc>
      </w:tr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t>Identify and verify extent and location of blue-green</w:t>
            </w:r>
            <w:r w:rsidRPr="00AF2EBF">
              <w:t xml:space="preserve"> algae outbreak</w:t>
            </w:r>
          </w:p>
        </w:tc>
      </w:tr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t>Select and check equipment and tools to meet task and safety requirements</w:t>
            </w:r>
          </w:p>
        </w:tc>
      </w:tr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t>Select, fit and use personal protective equipment</w:t>
            </w:r>
          </w:p>
        </w:tc>
      </w:tr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 w:rsidP="00AF2EBF">
            <w:pPr>
              <w:pStyle w:val="BodyText"/>
            </w:pPr>
            <w:r w:rsidRPr="00AF2EB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 w:rsidP="00AF2EBF">
            <w:pPr>
              <w:pStyle w:val="BodyText"/>
            </w:pPr>
            <w:r w:rsidRPr="00AF2EBF">
              <w:rPr>
                <w:rStyle w:val="SpecialBold"/>
              </w:rPr>
              <w:t>Prepare samples for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t>Confirm workplace procedures for conducting sampling and selecting sampling locations</w:t>
            </w:r>
          </w:p>
        </w:tc>
      </w:tr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t>Prepare sampling equipment according to workplace procedures</w:t>
            </w:r>
          </w:p>
        </w:tc>
      </w:tr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t>Collect samples according to workplace procedures</w:t>
            </w:r>
          </w:p>
        </w:tc>
      </w:tr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t>Prepare and send samples for testing according to workplace procedures</w:t>
            </w:r>
          </w:p>
        </w:tc>
      </w:tr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 w:rsidP="00AF2EBF">
            <w:pPr>
              <w:pStyle w:val="BodyText"/>
            </w:pPr>
            <w:r w:rsidRPr="00AF2EB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 w:rsidP="00AF2EBF">
            <w:pPr>
              <w:pStyle w:val="BodyText"/>
            </w:pPr>
            <w:r w:rsidRPr="00AF2EBF">
              <w:rPr>
                <w:rStyle w:val="SpecialBold"/>
              </w:rPr>
              <w:t>Respond to blue-green algae outbreak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t>Evaluate potential blue-green algae control methods and select and implement appropriate measures including emergency planning</w:t>
            </w:r>
          </w:p>
        </w:tc>
      </w:tr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t>Advise affected people according to workplace procedures</w:t>
            </w:r>
          </w:p>
        </w:tc>
      </w:tr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t>Monitor, inspect and isolate area according to workplace procedures</w:t>
            </w:r>
          </w:p>
        </w:tc>
      </w:tr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 w:rsidP="00AF2EBF">
            <w:pPr>
              <w:pStyle w:val="BodyText"/>
            </w:pPr>
            <w:r w:rsidRPr="00AF2EBF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 w:rsidP="00AF2EBF">
            <w:pPr>
              <w:pStyle w:val="BodyText"/>
            </w:pPr>
            <w:r w:rsidRPr="00AF2EBF">
              <w:rPr>
                <w:rStyle w:val="SpecialBold"/>
              </w:rPr>
              <w:t>Report on blue-green algae outbreak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t>Collect and interpret data and report to relevant stakeholders</w:t>
            </w:r>
          </w:p>
        </w:tc>
      </w:tr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 w:rsidP="00AF2EBF">
            <w:pPr>
              <w:pStyle w:val="BodyText"/>
            </w:pPr>
            <w:r w:rsidRPr="00AF2EBF">
              <w:t xml:space="preserve">Identify and report observations outside defined parameters to relevant personnel for further action </w:t>
            </w:r>
          </w:p>
        </w:tc>
      </w:tr>
    </w:tbl>
    <w:p w:rsidR="00000000" w:rsidRPr="00AF2EBF" w:rsidP="00AF2EBF">
      <w:pPr>
        <w:pStyle w:val="NoPaddingFontSize1"/>
      </w:pPr>
    </w:p>
    <w:p w:rsidR="00000000" w:rsidRPr="00AF2EBF" w:rsidP="00AF2EBF">
      <w:pPr>
        <w:pStyle w:val="AllowPageBreak"/>
      </w:pPr>
    </w:p>
    <w:p w:rsidR="00000000" w:rsidRPr="00AF2EBF" w:rsidP="00AF2EBF">
      <w:pPr>
        <w:pStyle w:val="Heading1"/>
      </w:pPr>
      <w:bookmarkStart w:id="7" w:name="O_1060829"/>
      <w:bookmarkEnd w:id="7"/>
      <w:r w:rsidRPr="00AF2EB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 w:rsidP="00AF2EBF">
            <w:pPr>
              <w:pStyle w:val="BodyText"/>
            </w:pPr>
            <w:r w:rsidRPr="00AF2EBF">
              <w:t>Foundation skills essential to performance are explicit in the performance criteria of this unit of competency.</w:t>
            </w:r>
          </w:p>
        </w:tc>
      </w:tr>
    </w:tbl>
    <w:p w:rsidR="00000000" w:rsidRPr="00AF2EBF" w:rsidP="00AF2EBF">
      <w:pPr>
        <w:pStyle w:val="NoPaddingFontSize1"/>
      </w:pPr>
    </w:p>
    <w:p w:rsidR="00000000" w:rsidRPr="00AF2EBF" w:rsidP="00AF2EBF">
      <w:pPr>
        <w:pStyle w:val="AllowPageBreak"/>
      </w:pPr>
    </w:p>
    <w:p w:rsidR="00000000" w:rsidRPr="00AF2EBF" w:rsidP="00AF2EBF">
      <w:pPr>
        <w:pStyle w:val="Heading1"/>
      </w:pPr>
      <w:bookmarkStart w:id="8" w:name="O_1060830"/>
      <w:bookmarkEnd w:id="8"/>
      <w:r w:rsidRPr="00AF2EB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 w:rsidP="00AF2EBF">
            <w:pPr>
              <w:pStyle w:val="BodyText"/>
            </w:pPr>
            <w:r w:rsidRPr="00AF2EBF">
              <w:t>Range is restricted to essential operating conditions and any other variables essential to the work environment.</w:t>
            </w:r>
          </w:p>
          <w:p w:rsidR="00000000" w:rsidRPr="00AF2EBF" w:rsidP="00AF2EBF">
            <w:pPr>
              <w:pStyle w:val="BodyText"/>
            </w:pPr>
            <w:r w:rsidRPr="00AF2EBF">
              <w:t>Non-essential conditions may be found in the Companion Volume Implementation Guide.</w:t>
            </w:r>
          </w:p>
        </w:tc>
      </w:tr>
    </w:tbl>
    <w:p w:rsidR="00000000" w:rsidRPr="00AF2EBF" w:rsidP="00AF2EBF">
      <w:pPr>
        <w:pStyle w:val="NoPaddingFontSize1"/>
      </w:pPr>
    </w:p>
    <w:p w:rsidR="00000000" w:rsidRPr="00AF2EBF" w:rsidP="00AF2EBF">
      <w:pPr>
        <w:pStyle w:val="AllowPageBreak"/>
      </w:pPr>
    </w:p>
    <w:p w:rsidR="00000000" w:rsidRPr="00AF2EBF" w:rsidP="00AF2EBF">
      <w:pPr>
        <w:pStyle w:val="Heading1"/>
      </w:pPr>
      <w:bookmarkStart w:id="9" w:name="O_1060831"/>
      <w:bookmarkEnd w:id="9"/>
      <w:r w:rsidRPr="00AF2EB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 w:rsidP="00AF2EBF">
            <w:pPr>
              <w:pStyle w:val="BodyText"/>
            </w:pPr>
            <w:r w:rsidRPr="00AF2EBF">
              <w:t>This unit replaces and is equivalent to NWPSOU001 Respond to blue-green algae outbreaks</w:t>
            </w:r>
          </w:p>
        </w:tc>
      </w:tr>
    </w:tbl>
    <w:p w:rsidR="00000000" w:rsidRPr="00AF2EBF" w:rsidP="00AF2EBF">
      <w:pPr>
        <w:pStyle w:val="NoPaddingFontSize1"/>
      </w:pPr>
    </w:p>
    <w:p w:rsidR="00000000" w:rsidRPr="00AF2EBF" w:rsidP="00AF2EBF">
      <w:pPr>
        <w:pStyle w:val="AllowPageBreak"/>
      </w:pPr>
    </w:p>
    <w:p w:rsidR="00000000" w:rsidRPr="00AF2EBF" w:rsidP="00AF2EBF">
      <w:pPr>
        <w:pStyle w:val="Heading1"/>
      </w:pPr>
      <w:bookmarkStart w:id="10" w:name="O_1060838"/>
      <w:bookmarkEnd w:id="10"/>
      <w:r w:rsidRPr="00AF2EBF">
        <w:t>Links</w:t>
      </w:r>
    </w:p>
    <w:p w:rsidR="00000000" w:rsidRPr="00AF2EBF" w:rsidP="00AD07F4">
      <w:pPr>
        <w:pStyle w:val="BodyText"/>
      </w:pPr>
      <w:r w:rsidRPr="00AF2E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0090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F2EBF" w:rsidP="00AD07F4">
      <w:pPr>
        <w:pStyle w:val="BodyText"/>
      </w:pPr>
      <w:r w:rsidRPr="00AF2E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0090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F2EBF" w:rsidP="00AD07F4">
      <w:pPr>
        <w:pStyle w:val="BodyText"/>
      </w:pPr>
      <w:r w:rsidRPr="00AF2E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0090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F2EBF" w:rsidP="00AD07F4">
      <w:pPr>
        <w:pStyle w:val="BodyText"/>
        <w:sectPr w:rsidSect="00AF2E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2EBF" w:rsidP="00AF2EBF">
      <w:pPr>
        <w:pStyle w:val="SuperHeading"/>
      </w:pPr>
      <w:r w:rsidRPr="00AF2EBF">
        <w:t>Assessment Requirements for NWPCAD001 Respond to blue-green algae outbreaks</w:t>
      </w:r>
    </w:p>
    <w:p w:rsidR="00000000" w:rsidRPr="00AF2EBF" w:rsidP="00AF2EBF">
      <w:pPr>
        <w:pStyle w:val="Heading1"/>
      </w:pPr>
      <w:bookmarkStart w:id="11" w:name="O_1060833"/>
      <w:bookmarkEnd w:id="11"/>
      <w:r w:rsidRPr="00AF2E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 w:rsidP="00AF2EBF">
            <w:pPr>
              <w:pStyle w:val="BodyText"/>
            </w:pPr>
            <w:r w:rsidRPr="00AF2EBF">
              <w:t>Release 1. This is the first release of this unit of competency in the NWP National Water Training Package.</w:t>
            </w:r>
          </w:p>
        </w:tc>
      </w:tr>
    </w:tbl>
    <w:p w:rsidR="00000000" w:rsidRPr="00AF2EBF" w:rsidP="00AF2EBF">
      <w:pPr>
        <w:pStyle w:val="NoPaddingFontSize1"/>
      </w:pPr>
    </w:p>
    <w:p w:rsidR="00000000" w:rsidRPr="00AF2EBF" w:rsidP="00AF2EBF">
      <w:pPr>
        <w:pStyle w:val="AllowPageBreak"/>
      </w:pPr>
    </w:p>
    <w:p w:rsidR="00000000" w:rsidRPr="00AF2EBF" w:rsidP="00AF2EBF">
      <w:pPr>
        <w:pStyle w:val="Heading1"/>
      </w:pPr>
      <w:bookmarkStart w:id="12" w:name="O_1060834"/>
      <w:bookmarkEnd w:id="12"/>
      <w:r w:rsidRPr="00AF2EB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t>Evidence required to demonstrate competence in this unit must be relevant to and satisfy all the requireme</w:t>
            </w:r>
            <w:r w:rsidRPr="00AF2EBF">
              <w:t>nts of the elements and performance criteria on at least one occasion and includes:</w:t>
            </w:r>
          </w:p>
        </w:tc>
      </w:tr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 w:rsidP="00AF2EBF">
            <w:pPr>
              <w:pStyle w:val="ListBullet"/>
            </w:pPr>
            <w:r w:rsidRPr="00AF2EBF">
              <w:t>advising affected persons</w:t>
            </w:r>
          </w:p>
          <w:p w:rsidR="00000000" w:rsidRPr="00AF2EBF" w:rsidP="00AF2EBF">
            <w:pPr>
              <w:pStyle w:val="ListBullet"/>
            </w:pPr>
            <w:r w:rsidRPr="00AF2EBF">
              <w:t>collecting, preparing and sending samples for testing</w:t>
            </w:r>
          </w:p>
          <w:p w:rsidR="00000000" w:rsidRPr="00AF2EBF" w:rsidP="00AF2EBF">
            <w:pPr>
              <w:pStyle w:val="ListBullet"/>
            </w:pPr>
            <w:r w:rsidRPr="00AF2EBF">
              <w:t>implementing response plans</w:t>
            </w:r>
          </w:p>
          <w:p w:rsidR="00000000" w:rsidRPr="00AF2EBF" w:rsidP="00AF2EBF">
            <w:pPr>
              <w:pStyle w:val="ListBullet"/>
            </w:pPr>
            <w:r w:rsidRPr="00AF2EBF">
              <w:t>maintaining integrity of samples by following workplace collec</w:t>
            </w:r>
            <w:r w:rsidRPr="00AF2EBF">
              <w:t>tion procedures</w:t>
            </w:r>
          </w:p>
          <w:p w:rsidR="00000000" w:rsidRPr="00AF2EBF" w:rsidP="00AF2EBF">
            <w:pPr>
              <w:pStyle w:val="ListBullet"/>
            </w:pPr>
            <w:r w:rsidRPr="00AF2EBF">
              <w:t xml:space="preserve">recording and reporting required information and data </w:t>
            </w:r>
          </w:p>
          <w:p w:rsidR="00000000" w:rsidRPr="00AF2EBF" w:rsidP="00AF2EBF">
            <w:pPr>
              <w:pStyle w:val="ListBullet"/>
            </w:pPr>
            <w:r w:rsidRPr="00AF2EBF">
              <w:t>reporting to relevant personnel when extent of outbreak is outside parameters</w:t>
            </w:r>
          </w:p>
          <w:p w:rsidR="00000000" w:rsidRPr="00AF2EBF" w:rsidP="00AF2EBF">
            <w:pPr>
              <w:pStyle w:val="ListBullet"/>
            </w:pPr>
            <w:r w:rsidRPr="00AF2EBF">
              <w:t>responding to an outbreak using one of the following control methods:</w:t>
            </w:r>
          </w:p>
          <w:p w:rsidR="00000000" w:rsidRPr="00AF2EBF" w:rsidP="00AF2EBF">
            <w:pPr>
              <w:pStyle w:val="ListBullet2"/>
            </w:pPr>
            <w:r w:rsidRPr="00AF2EBF">
              <w:t>barricades</w:t>
            </w:r>
          </w:p>
          <w:p w:rsidR="00000000" w:rsidRPr="00AF2EBF" w:rsidP="00AF2EBF">
            <w:pPr>
              <w:pStyle w:val="ListBullet2"/>
            </w:pPr>
            <w:r w:rsidRPr="00AF2EBF">
              <w:t>public notices</w:t>
            </w:r>
          </w:p>
          <w:p w:rsidR="00000000" w:rsidRPr="00AF2EBF" w:rsidP="00AF2EBF">
            <w:pPr>
              <w:pStyle w:val="ListBullet2"/>
            </w:pPr>
            <w:r w:rsidRPr="00AF2EBF">
              <w:t>signage</w:t>
            </w:r>
          </w:p>
          <w:p w:rsidR="00000000" w:rsidRPr="00AF2EBF" w:rsidP="00AF2EBF">
            <w:pPr>
              <w:pStyle w:val="ListBullet"/>
            </w:pPr>
            <w:r w:rsidRPr="00AF2EBF">
              <w:t>selecting appropriate method of notification</w:t>
            </w:r>
          </w:p>
          <w:p w:rsidR="00000000" w:rsidRPr="00AF2EBF" w:rsidP="00AF2EBF">
            <w:pPr>
              <w:pStyle w:val="ListBullet"/>
            </w:pPr>
            <w:r w:rsidRPr="00AF2EBF">
              <w:t>selecting control methods including isolation of effected the area</w:t>
            </w:r>
          </w:p>
        </w:tc>
      </w:tr>
    </w:tbl>
    <w:p w:rsidR="00000000" w:rsidRPr="00AF2EBF" w:rsidP="00AF2EBF">
      <w:pPr>
        <w:pStyle w:val="NoPaddingFontSize1"/>
      </w:pPr>
    </w:p>
    <w:p w:rsidR="00000000" w:rsidRPr="00AF2EBF" w:rsidP="00AF2EBF">
      <w:pPr>
        <w:pStyle w:val="AllowPageBreak"/>
      </w:pPr>
    </w:p>
    <w:p w:rsidR="00000000" w:rsidRPr="00AF2EBF" w:rsidP="00AF2EBF">
      <w:pPr>
        <w:pStyle w:val="Heading1"/>
      </w:pPr>
      <w:bookmarkStart w:id="13" w:name="O_1060835"/>
      <w:bookmarkEnd w:id="13"/>
      <w:r w:rsidRPr="00AF2EB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BF">
            <w:pPr>
              <w:pStyle w:val="BodyText"/>
              <w:rPr>
                <w:lang w:val="en-NZ"/>
              </w:rPr>
            </w:pPr>
            <w:r w:rsidRPr="00AF2EBF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 w:rsidP="00AF2EBF">
            <w:pPr>
              <w:pStyle w:val="ListBullet"/>
            </w:pPr>
            <w:r w:rsidRPr="00AF2EBF">
              <w:t>all blue-green algae outbreak areas</w:t>
            </w:r>
          </w:p>
          <w:p w:rsidR="00000000" w:rsidRPr="00AF2EBF" w:rsidP="00AF2EBF">
            <w:pPr>
              <w:pStyle w:val="ListBullet"/>
            </w:pPr>
            <w:r w:rsidRPr="00AF2EBF">
              <w:t>blue-green algae outbreaks including:</w:t>
            </w:r>
          </w:p>
          <w:p w:rsidR="00000000" w:rsidRPr="00AF2EBF" w:rsidP="00AF2EBF">
            <w:pPr>
              <w:pStyle w:val="ListBullet2"/>
            </w:pPr>
            <w:r w:rsidRPr="00AF2EBF">
              <w:t>c</w:t>
            </w:r>
            <w:r w:rsidRPr="00AF2EBF">
              <w:t>ollection hazards of sampling</w:t>
            </w:r>
          </w:p>
          <w:p w:rsidR="00000000" w:rsidRPr="00AF2EBF" w:rsidP="00AF2EBF">
            <w:pPr>
              <w:pStyle w:val="ListBullet2"/>
            </w:pPr>
            <w:r w:rsidRPr="00AF2EBF">
              <w:t>control methods</w:t>
            </w:r>
          </w:p>
          <w:p w:rsidR="00000000" w:rsidRPr="00AF2EBF" w:rsidP="00AF2EBF">
            <w:pPr>
              <w:pStyle w:val="ListBullet2"/>
            </w:pPr>
            <w:r w:rsidRPr="00AF2EBF">
              <w:t>impact on water and wastewater treatment processes</w:t>
            </w:r>
          </w:p>
          <w:p w:rsidR="00000000" w:rsidRPr="00AF2EBF" w:rsidP="00AF2EBF">
            <w:pPr>
              <w:pStyle w:val="ListBullet2"/>
            </w:pPr>
            <w:r w:rsidRPr="00AF2EBF">
              <w:t>outbreak locations</w:t>
            </w:r>
          </w:p>
          <w:p w:rsidR="00000000" w:rsidRPr="00AF2EBF" w:rsidP="00AF2EBF">
            <w:pPr>
              <w:pStyle w:val="ListBullet2"/>
            </w:pPr>
            <w:r w:rsidRPr="00AF2EBF">
              <w:t>sampling procedures and techniques</w:t>
            </w:r>
          </w:p>
          <w:p w:rsidR="00000000" w:rsidRPr="00AF2EBF" w:rsidP="00AF2EBF">
            <w:pPr>
              <w:pStyle w:val="ListBullet2"/>
            </w:pPr>
            <w:r w:rsidRPr="00AF2EBF">
              <w:t>types and purposes of samples</w:t>
            </w:r>
          </w:p>
          <w:p w:rsidR="00000000" w:rsidRPr="00AF2EBF" w:rsidP="00AF2EBF">
            <w:pPr>
              <w:pStyle w:val="ListBullet"/>
            </w:pPr>
            <w:r w:rsidRPr="00AF2EBF">
              <w:t>control methods including:</w:t>
            </w:r>
          </w:p>
          <w:p w:rsidR="00000000" w:rsidRPr="00AF2EBF" w:rsidP="00AF2EBF">
            <w:pPr>
              <w:pStyle w:val="ListBullet2"/>
            </w:pPr>
            <w:r w:rsidRPr="00AF2EBF">
              <w:t>barricades</w:t>
            </w:r>
          </w:p>
          <w:p w:rsidR="00000000" w:rsidRPr="00AF2EBF" w:rsidP="00AF2EBF">
            <w:pPr>
              <w:pStyle w:val="ListBullet2"/>
            </w:pPr>
            <w:r w:rsidRPr="00AF2EBF">
              <w:t>public notices</w:t>
            </w:r>
          </w:p>
          <w:p w:rsidR="00000000" w:rsidRPr="00AF2EBF" w:rsidP="00AF2EBF">
            <w:pPr>
              <w:pStyle w:val="ListBullet2"/>
            </w:pPr>
            <w:r w:rsidRPr="00AF2EBF">
              <w:t>signage</w:t>
            </w:r>
          </w:p>
          <w:p w:rsidR="00000000" w:rsidRPr="00AF2EBF" w:rsidP="00AF2EBF">
            <w:pPr>
              <w:pStyle w:val="ListBullet"/>
            </w:pPr>
            <w:r w:rsidRPr="00AF2EBF">
              <w:t>effects of weather and conditions on algae blooms</w:t>
            </w:r>
          </w:p>
          <w:p w:rsidR="00000000" w:rsidRPr="00AF2EBF" w:rsidP="00AF2EBF">
            <w:pPr>
              <w:pStyle w:val="ListBullet"/>
            </w:pPr>
            <w:r w:rsidRPr="00AF2EBF">
              <w:t xml:space="preserve">emergency planning </w:t>
            </w:r>
          </w:p>
          <w:p w:rsidR="00000000" w:rsidRPr="00AF2EBF" w:rsidP="00AF2EBF">
            <w:pPr>
              <w:pStyle w:val="ListBullet"/>
            </w:pPr>
            <w:r w:rsidRPr="00AF2EBF">
              <w:t>hazardous materials handling for algaecides</w:t>
            </w:r>
          </w:p>
          <w:p w:rsidR="00000000" w:rsidRPr="00AF2EBF" w:rsidP="00AF2EBF">
            <w:pPr>
              <w:pStyle w:val="ListBullet"/>
            </w:pPr>
            <w:r w:rsidRPr="00AF2EBF">
              <w:t>problems caused by blue-green algal blooms</w:t>
            </w:r>
          </w:p>
          <w:p w:rsidR="00000000" w:rsidRPr="00AF2EBF" w:rsidP="00AF2EBF">
            <w:pPr>
              <w:pStyle w:val="ListBullet"/>
            </w:pPr>
            <w:r w:rsidRPr="00AF2EBF">
              <w:t>relevant legislation, regulations and workplace procedures</w:t>
            </w:r>
          </w:p>
          <w:p w:rsidR="00000000" w:rsidRPr="00AF2EBF" w:rsidP="00AF2EBF">
            <w:pPr>
              <w:pStyle w:val="ListBullet"/>
            </w:pPr>
            <w:r w:rsidRPr="00AF2EBF">
              <w:t>safety data sheets</w:t>
            </w:r>
          </w:p>
          <w:p w:rsidR="00000000" w:rsidRPr="00AF2EBF" w:rsidP="00AF2EBF">
            <w:pPr>
              <w:pStyle w:val="ListBullet"/>
            </w:pPr>
            <w:r w:rsidRPr="00AF2EBF">
              <w:t>sample collections including:</w:t>
            </w:r>
          </w:p>
          <w:p w:rsidR="00000000" w:rsidRPr="00AF2EBF" w:rsidP="00AF2EBF">
            <w:pPr>
              <w:pStyle w:val="ListBullet2"/>
            </w:pPr>
            <w:r w:rsidRPr="00AF2EBF">
              <w:t>labelling information</w:t>
            </w:r>
          </w:p>
          <w:p w:rsidR="00000000" w:rsidRPr="00AF2EBF" w:rsidP="00AF2EBF">
            <w:pPr>
              <w:pStyle w:val="ListBullet2"/>
            </w:pPr>
            <w:r w:rsidRPr="00AF2EBF">
              <w:t>location of samples</w:t>
            </w:r>
          </w:p>
          <w:p w:rsidR="00000000" w:rsidRPr="00AF2EBF" w:rsidP="00AF2EBF">
            <w:pPr>
              <w:pStyle w:val="ListBullet2"/>
            </w:pPr>
            <w:r w:rsidRPr="00AF2EBF">
              <w:t>sample types</w:t>
            </w:r>
          </w:p>
          <w:p w:rsidR="00000000" w:rsidRPr="00AF2EBF" w:rsidP="00AF2EBF">
            <w:pPr>
              <w:pStyle w:val="ListBullet2"/>
            </w:pPr>
            <w:r w:rsidRPr="00AF2EBF">
              <w:t>time of collection</w:t>
            </w:r>
          </w:p>
        </w:tc>
      </w:tr>
    </w:tbl>
    <w:p w:rsidR="00000000" w:rsidRPr="00AF2EBF" w:rsidP="00AF2EBF">
      <w:pPr>
        <w:pStyle w:val="NoPaddingFontSize1"/>
      </w:pPr>
    </w:p>
    <w:p w:rsidR="00000000" w:rsidRPr="00AF2EBF" w:rsidP="00AF2EBF">
      <w:pPr>
        <w:pStyle w:val="AllowPageBreak"/>
      </w:pPr>
    </w:p>
    <w:p w:rsidR="00000000" w:rsidRPr="00AF2EBF" w:rsidP="00AF2EBF">
      <w:pPr>
        <w:pStyle w:val="Heading1"/>
      </w:pPr>
      <w:bookmarkStart w:id="14" w:name="O_1060836"/>
      <w:bookmarkEnd w:id="14"/>
      <w:r w:rsidRPr="00AF2EB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BF" w:rsidP="00AF2EBF">
            <w:pPr>
              <w:pStyle w:val="BodyText"/>
            </w:pPr>
            <w:r w:rsidRPr="00AF2EBF">
              <w:t xml:space="preserve">Assessors must hold credentials specified within the Standards for Registered Training Organisations current at the time of assessment. </w:t>
            </w:r>
          </w:p>
          <w:p w:rsidR="00000000" w:rsidRPr="00AF2EBF" w:rsidP="00AF2EBF">
            <w:pPr>
              <w:pStyle w:val="BodyText"/>
            </w:pPr>
            <w:r w:rsidRPr="00AF2EBF">
              <w:t>Assessment must satisfy the Principles of Assessment and Rules of Evidence and all regulatory requirements included wit</w:t>
            </w:r>
            <w:r w:rsidRPr="00AF2EBF">
              <w:t>hin the Standards for Registered Training Organisations current at the time of assessment.</w:t>
            </w:r>
          </w:p>
          <w:p w:rsidR="00000000" w:rsidRPr="00AF2EBF" w:rsidP="00AF2EBF">
            <w:pPr>
              <w:pStyle w:val="BodyText"/>
            </w:pPr>
            <w:r w:rsidRPr="00AF2EBF">
              <w:t>Assessment must occur in workplace operational situations where it is appropriate to do so; where this is not appropriate, assessment must occur in simulated workpla</w:t>
            </w:r>
            <w:r w:rsidRPr="00AF2EBF">
              <w:t>ce operational situations that replicate workplace conditions.</w:t>
            </w:r>
          </w:p>
          <w:p w:rsidR="00000000" w:rsidRPr="00AF2EBF" w:rsidP="00AF2EBF">
            <w:pPr>
              <w:pStyle w:val="BodyText"/>
            </w:pPr>
            <w:r w:rsidRPr="00AF2EB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F2EBF" w:rsidP="00AF2EBF">
            <w:pPr>
              <w:pStyle w:val="BodyText"/>
            </w:pPr>
            <w:r w:rsidRPr="00AF2EBF">
              <w:t xml:space="preserve">Resources for assessment </w:t>
            </w:r>
            <w:r w:rsidRPr="00AF2EBF">
              <w:t>must include access to:</w:t>
            </w:r>
          </w:p>
          <w:p w:rsidR="00000000" w:rsidRPr="00AF2EBF" w:rsidP="00AF2EBF">
            <w:pPr>
              <w:pStyle w:val="ListBullet"/>
            </w:pPr>
            <w:r w:rsidRPr="00AF2EBF">
              <w:t>relevant and appropriate materials, tools, equipment and personal protective equipment currently used in industry</w:t>
            </w:r>
          </w:p>
          <w:p w:rsidR="00000000" w:rsidRPr="00AF2EBF" w:rsidP="00AF2EBF">
            <w:pPr>
              <w:pStyle w:val="ListBullet"/>
            </w:pPr>
            <w:r w:rsidRPr="00AF2EBF">
              <w:t>applicable documentation including legislation, regulations, codes of practice, workplace procedures and operation ma</w:t>
            </w:r>
            <w:r w:rsidRPr="00AF2EBF">
              <w:t>nuals.</w:t>
            </w:r>
          </w:p>
        </w:tc>
      </w:tr>
    </w:tbl>
    <w:p w:rsidR="00000000" w:rsidRPr="00AF2EBF" w:rsidP="00AF2EBF">
      <w:pPr>
        <w:pStyle w:val="NoPaddingFontSize1"/>
      </w:pPr>
    </w:p>
    <w:p w:rsidR="00000000" w:rsidRPr="00AF2EBF" w:rsidP="00AF2EBF">
      <w:pPr>
        <w:pStyle w:val="AllowPageBreak"/>
      </w:pPr>
    </w:p>
    <w:p w:rsidR="00000000" w:rsidRPr="00AF2EBF" w:rsidP="00AF2EBF">
      <w:pPr>
        <w:pStyle w:val="Heading1"/>
      </w:pPr>
      <w:bookmarkStart w:id="15" w:name="O_1060839"/>
      <w:bookmarkEnd w:id="15"/>
      <w:r w:rsidRPr="00AF2EBF">
        <w:t>Links</w:t>
      </w:r>
    </w:p>
    <w:p w:rsidR="00000000" w:rsidRPr="00AF2EBF" w:rsidP="00AD07F4">
      <w:pPr>
        <w:pStyle w:val="BodyText"/>
      </w:pPr>
      <w:r w:rsidRPr="00AF2E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0090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F2EBF" w:rsidP="00AD07F4">
      <w:pPr>
        <w:pStyle w:val="BodyText"/>
      </w:pPr>
      <w:r w:rsidRPr="00AF2EBF">
        <w:t>Companion Volume implementation guides are found i</w:t>
      </w:r>
      <w:r w:rsidRPr="00AF2EBF">
        <w:t xml:space="preserve">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0090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F2EBF" w:rsidP="00AD07F4">
      <w:pPr>
        <w:pStyle w:val="BodyText"/>
      </w:pPr>
      <w:r w:rsidRPr="00AF2E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0090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F2EBF" w:rsidP="00AF2EBF"/>
    <w:sectPr w:rsidSect="00AF2E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BF" w:rsidRPr="00AD07F4" w:rsidP="00AD07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7F4" w:rsidP="00AF2E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07F4" w:rsidP="00AF2E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D07F4" w:rsidP="00AF2E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BF" w:rsidP="00AF2E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07F4">
      <w:t>Approved</w:t>
    </w:r>
    <w:r w:rsidR="00AD07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07F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07F4">
      <w:rPr>
        <w:noProof/>
      </w:rPr>
      <w:t>4</w:t>
    </w:r>
    <w:r>
      <w:rPr>
        <w:noProof/>
      </w:rPr>
      <w:fldChar w:fldCharType="end"/>
    </w:r>
  </w:p>
  <w:p w:rsidR="00AF2EBF" w:rsidP="00AF2E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07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07F4">
      <w:t>BuildSkills Australia</w:t>
    </w:r>
    <w:r w:rsidR="00AD07F4">
      <w:fldChar w:fldCharType="end"/>
    </w:r>
  </w:p>
  <w:p w:rsidR="00AF2EBF" w:rsidP="00AF2E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7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EBF" w:rsidRPr="00AD07F4" w:rsidP="00AD07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7F4" w:rsidRPr="002D2AF8" w:rsidP="00AF2E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NWPCAD001 Respond to blue-green algae outbreaks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D07F4" w:rsidP="00AF2E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BF" w:rsidRPr="002D2AF8" w:rsidP="00AF2E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07F4">
      <w:t>NWPCAD001 Respond to blue-green algae outbreaks</w:t>
    </w:r>
    <w:r w:rsidR="00AD07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07F4">
      <w:rPr>
        <w:noProof/>
      </w:rPr>
      <w:t>1 March 2025</w:t>
    </w:r>
    <w:r>
      <w:fldChar w:fldCharType="end"/>
    </w:r>
  </w:p>
  <w:p w:rsidR="00AF2EBF" w:rsidP="00AF2E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BA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E69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4448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E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E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E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E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E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E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E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E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E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E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E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EBF"/>
  </w:style>
  <w:style w:type="character" w:customStyle="1" w:styleId="Heading1Char">
    <w:name w:val="Heading 1 Char"/>
    <w:basedOn w:val="DefaultParagraphFont"/>
    <w:link w:val="Heading1"/>
    <w:rsid w:val="00AF2E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E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E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E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EBF"/>
    <w:rPr>
      <w:b/>
      <w:spacing w:val="0"/>
    </w:rPr>
  </w:style>
  <w:style w:type="paragraph" w:styleId="ListBullet2">
    <w:name w:val="List Bullet 2"/>
    <w:basedOn w:val="List2"/>
    <w:rsid w:val="00AF2E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2E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E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2E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E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E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E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E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E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E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E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E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E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E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E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E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E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E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E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E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E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E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E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E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E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E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2E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E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E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E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E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E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E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E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E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EBF"/>
    <w:rPr>
      <w:i/>
    </w:rPr>
  </w:style>
  <w:style w:type="paragraph" w:styleId="Caption">
    <w:name w:val="caption"/>
    <w:basedOn w:val="BodyText"/>
    <w:next w:val="Normal"/>
    <w:qFormat/>
    <w:rsid w:val="00AF2E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E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E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EBF"/>
  </w:style>
  <w:style w:type="paragraph" w:styleId="TableofFigures">
    <w:name w:val="table of figures"/>
    <w:basedOn w:val="Normal"/>
    <w:next w:val="Normal"/>
    <w:semiHidden/>
    <w:rsid w:val="00AF2E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E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2EBF"/>
    <w:rPr>
      <w:rFonts w:ascii="Wingdings" w:hAnsi="Wingdings"/>
    </w:rPr>
  </w:style>
  <w:style w:type="paragraph" w:customStyle="1" w:styleId="TableHeading">
    <w:name w:val="Table Heading"/>
    <w:basedOn w:val="HeadingBase"/>
    <w:rsid w:val="00AF2E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EBF"/>
    <w:rPr>
      <w:color w:val="0033CC"/>
      <w:u w:val="none"/>
    </w:rPr>
  </w:style>
  <w:style w:type="paragraph" w:customStyle="1" w:styleId="BodyTextRight">
    <w:name w:val="Body Text Right"/>
    <w:basedOn w:val="BodyText"/>
    <w:rsid w:val="00AF2E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E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E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E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E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E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EBF"/>
    <w:rPr>
      <w:sz w:val="32"/>
    </w:rPr>
  </w:style>
  <w:style w:type="paragraph" w:customStyle="1" w:styleId="HeadingProcedure">
    <w:name w:val="Heading Procedure"/>
    <w:basedOn w:val="HeadingBase"/>
    <w:next w:val="Normal"/>
    <w:rsid w:val="00AF2E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EBF"/>
    <w:pPr>
      <w:spacing w:before="60" w:after="60"/>
    </w:pPr>
  </w:style>
  <w:style w:type="paragraph" w:styleId="ListContinue">
    <w:name w:val="List Continue"/>
    <w:basedOn w:val="List"/>
    <w:rsid w:val="00AF2EBF"/>
    <w:pPr>
      <w:ind w:firstLine="0"/>
    </w:pPr>
  </w:style>
  <w:style w:type="paragraph" w:customStyle="1" w:styleId="ListNote">
    <w:name w:val="List Note"/>
    <w:basedOn w:val="List"/>
    <w:rsid w:val="00AF2E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E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E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EBF"/>
    <w:rPr>
      <w:rFonts w:ascii="Courier New" w:hAnsi="Courier New"/>
    </w:rPr>
  </w:style>
  <w:style w:type="paragraph" w:customStyle="1" w:styleId="NoteBullet">
    <w:name w:val="Note Bullet"/>
    <w:basedOn w:val="Note"/>
    <w:rsid w:val="00AF2E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E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E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E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E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2E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E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EBF"/>
    <w:rPr>
      <w:b/>
      <w:smallCaps/>
    </w:rPr>
  </w:style>
  <w:style w:type="paragraph" w:customStyle="1" w:styleId="TableListNumber">
    <w:name w:val="Table List Number"/>
    <w:basedOn w:val="ListNumber"/>
    <w:rsid w:val="00AF2E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E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EBF"/>
    <w:pPr>
      <w:numPr>
        <w:numId w:val="9"/>
      </w:numPr>
    </w:pPr>
  </w:style>
  <w:style w:type="paragraph" w:customStyle="1" w:styleId="ListAlpha2">
    <w:name w:val="List Alpha 2"/>
    <w:basedOn w:val="List2"/>
    <w:rsid w:val="00AF2EBF"/>
    <w:pPr>
      <w:numPr>
        <w:numId w:val="8"/>
      </w:numPr>
    </w:pPr>
  </w:style>
  <w:style w:type="paragraph" w:styleId="List2">
    <w:name w:val="List 2"/>
    <w:basedOn w:val="BodyText"/>
    <w:rsid w:val="00AF2E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E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E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E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E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E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2EBF"/>
    <w:pPr>
      <w:numPr>
        <w:numId w:val="4"/>
      </w:numPr>
    </w:pPr>
  </w:style>
  <w:style w:type="paragraph" w:styleId="ListContinue2">
    <w:name w:val="List Continue 2"/>
    <w:basedOn w:val="List2"/>
    <w:rsid w:val="00AF2EBF"/>
    <w:pPr>
      <w:ind w:firstLine="0"/>
    </w:pPr>
  </w:style>
  <w:style w:type="paragraph" w:styleId="ListContinue3">
    <w:name w:val="List Continue 3"/>
    <w:basedOn w:val="List3"/>
    <w:rsid w:val="00AF2EBF"/>
    <w:pPr>
      <w:ind w:left="1021" w:firstLine="0"/>
    </w:pPr>
  </w:style>
  <w:style w:type="paragraph" w:styleId="ListContinue4">
    <w:name w:val="List Continue 4"/>
    <w:basedOn w:val="List4"/>
    <w:rsid w:val="00AF2EBF"/>
    <w:pPr>
      <w:ind w:firstLine="0"/>
    </w:pPr>
  </w:style>
  <w:style w:type="paragraph" w:styleId="ListContinue5">
    <w:name w:val="List Continue 5"/>
    <w:basedOn w:val="List5"/>
    <w:rsid w:val="00AF2EBF"/>
    <w:pPr>
      <w:ind w:firstLine="0"/>
    </w:pPr>
  </w:style>
  <w:style w:type="paragraph" w:styleId="ListNumber3">
    <w:name w:val="List Number 3"/>
    <w:basedOn w:val="List3"/>
    <w:rsid w:val="00AF2EBF"/>
    <w:pPr>
      <w:numPr>
        <w:numId w:val="5"/>
      </w:numPr>
    </w:pPr>
  </w:style>
  <w:style w:type="paragraph" w:styleId="ListNumber4">
    <w:name w:val="List Number 4"/>
    <w:basedOn w:val="List4"/>
    <w:rsid w:val="00AF2EBF"/>
    <w:pPr>
      <w:numPr>
        <w:numId w:val="6"/>
      </w:numPr>
    </w:pPr>
  </w:style>
  <w:style w:type="paragraph" w:styleId="ListNumber5">
    <w:name w:val="List Number 5"/>
    <w:basedOn w:val="List5"/>
    <w:rsid w:val="00AF2EBF"/>
    <w:pPr>
      <w:numPr>
        <w:numId w:val="7"/>
      </w:numPr>
    </w:pPr>
  </w:style>
  <w:style w:type="paragraph" w:styleId="BlockText">
    <w:name w:val="Block Text"/>
    <w:basedOn w:val="Normal"/>
    <w:rsid w:val="00AF2E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E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EBF"/>
    <w:rPr>
      <w:sz w:val="16"/>
      <w:vertAlign w:val="superscript"/>
    </w:rPr>
  </w:style>
  <w:style w:type="character" w:customStyle="1" w:styleId="Symbols">
    <w:name w:val="Symbols"/>
    <w:basedOn w:val="DefaultParagraphFont"/>
    <w:rsid w:val="00AF2EBF"/>
    <w:rPr>
      <w:rFonts w:ascii="Symbol" w:hAnsi="Symbol"/>
    </w:rPr>
  </w:style>
  <w:style w:type="character" w:customStyle="1" w:styleId="MenuOptions">
    <w:name w:val="Menu Options"/>
    <w:basedOn w:val="DefaultParagraphFont"/>
    <w:rsid w:val="00AF2E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EBF"/>
    <w:rPr>
      <w:b/>
    </w:rPr>
  </w:style>
  <w:style w:type="character" w:customStyle="1" w:styleId="Underlined">
    <w:name w:val="Underlined"/>
    <w:basedOn w:val="DefaultParagraphFont"/>
    <w:rsid w:val="00AF2EBF"/>
    <w:rPr>
      <w:u w:val="single"/>
    </w:rPr>
  </w:style>
  <w:style w:type="paragraph" w:customStyle="1" w:styleId="TableBodyTextRight">
    <w:name w:val="Table Body Text Right"/>
    <w:basedOn w:val="TableBodyText"/>
    <w:rsid w:val="00AF2E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EBF"/>
    <w:rPr>
      <w:sz w:val="18"/>
    </w:rPr>
  </w:style>
  <w:style w:type="paragraph" w:customStyle="1" w:styleId="BodySmallRight">
    <w:name w:val="Body Small Right"/>
    <w:basedOn w:val="BodyTextRight"/>
    <w:rsid w:val="00AF2EBF"/>
    <w:rPr>
      <w:sz w:val="18"/>
      <w:szCs w:val="18"/>
    </w:rPr>
  </w:style>
  <w:style w:type="paragraph" w:customStyle="1" w:styleId="MarginEdition">
    <w:name w:val="Margin Edition"/>
    <w:basedOn w:val="MarginNote"/>
    <w:rsid w:val="00AF2E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EBF"/>
    <w:rPr>
      <w:sz w:val="2"/>
      <w:szCs w:val="2"/>
    </w:rPr>
  </w:style>
  <w:style w:type="character" w:customStyle="1" w:styleId="Small">
    <w:name w:val="Small"/>
    <w:basedOn w:val="DefaultParagraphFont"/>
    <w:rsid w:val="00AF2EBF"/>
    <w:rPr>
      <w:sz w:val="16"/>
    </w:rPr>
  </w:style>
  <w:style w:type="paragraph" w:customStyle="1" w:styleId="WideTable">
    <w:name w:val="Wide Table"/>
    <w:basedOn w:val="Normal"/>
    <w:rsid w:val="00AF2E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EBF"/>
  </w:style>
  <w:style w:type="paragraph" w:styleId="Quote">
    <w:name w:val="Quote"/>
    <w:basedOn w:val="Heading1"/>
    <w:link w:val="QuoteChar"/>
    <w:qFormat/>
    <w:rsid w:val="00AF2E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E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EBF"/>
    <w:pPr>
      <w:pageBreakBefore/>
    </w:pPr>
  </w:style>
  <w:style w:type="paragraph" w:customStyle="1" w:styleId="Border">
    <w:name w:val="Border"/>
    <w:basedOn w:val="Normal"/>
    <w:qFormat/>
    <w:rsid w:val="00AF2E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E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E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E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E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E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E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E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E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EBF"/>
    <w:rPr>
      <w:u w:val="single"/>
    </w:rPr>
  </w:style>
  <w:style w:type="character" w:customStyle="1" w:styleId="BoldandItalics">
    <w:name w:val="Bold and Italics"/>
    <w:qFormat/>
    <w:rsid w:val="00AF2EBF"/>
    <w:rPr>
      <w:b/>
      <w:i/>
      <w:u w:val="none"/>
    </w:rPr>
  </w:style>
  <w:style w:type="paragraph" w:styleId="BalloonText">
    <w:name w:val="Balloon Text"/>
    <w:basedOn w:val="Normal"/>
    <w:link w:val="BalloonTextChar"/>
    <w:rsid w:val="00AF2E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E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E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E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E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E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EBF"/>
    <w:pPr>
      <w:spacing w:before="0" w:after="0"/>
    </w:pPr>
  </w:style>
  <w:style w:type="paragraph" w:customStyle="1" w:styleId="BodyTextBold">
    <w:name w:val="Body Text Bold"/>
    <w:basedOn w:val="BodyText"/>
    <w:qFormat/>
    <w:rsid w:val="00AF2EBF"/>
    <w:rPr>
      <w:b/>
    </w:rPr>
  </w:style>
  <w:style w:type="character" w:styleId="Hyperlink">
    <w:name w:val="Hyperlink"/>
    <w:basedOn w:val="DefaultParagraphFont"/>
    <w:uiPriority w:val="99"/>
    <w:unhideWhenUsed/>
    <w:rsid w:val="00AD07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892</Words>
  <Characters>6210</Characters>
  <Application>Microsoft Office Word</Application>
  <DocSecurity>0</DocSecurity>
  <Lines>238</Lines>
  <Paragraphs>151</Paragraphs>
  <ScaleCrop>false</ScaleCrop>
  <Company>Author-it Software Corporation Ltd.</Company>
  <LinksUpToDate>false</LinksUpToDate>
  <CharactersWithSpaces>6951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NWPCAD001 Respond to blue-green algae outbreaks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2025-03-01T11:48:00Z</dcterms:created>
  <dcterms:modified xsi:type="dcterms:W3CDTF">2025-03-01T11:48:00Z</dcterms:modified>
</cp:coreProperties>
</file>