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F87" w:rsidP="00066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NWPCAD001 Respond to blue-green algae outbreaks</w:t>
      </w:r>
      <w:r>
        <w:fldChar w:fldCharType="end"/>
      </w:r>
    </w:p>
    <w:p w:rsidR="00066F87" w:rsidP="00066F87">
      <w:pPr>
        <w:pStyle w:val="Version"/>
        <w:sectPr w:rsidSect="004D0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E65" w:rsidP="004D0E65">
      <w:pPr>
        <w:pStyle w:val="SuperHeading"/>
      </w:pPr>
      <w:r w:rsidRPr="004D0E65">
        <w:t>Assessment Requirements for NWPCAD001 Respond to blue-green algae outbreaks</w:t>
      </w:r>
    </w:p>
    <w:p w:rsidR="00000000" w:rsidRPr="004D0E65" w:rsidP="004D0E65">
      <w:pPr>
        <w:pStyle w:val="Heading1"/>
      </w:pPr>
      <w:bookmarkStart w:id="1" w:name="O_1060833"/>
      <w:bookmarkEnd w:id="1"/>
      <w:r w:rsidRPr="004D0E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5" w:rsidP="004D0E65">
            <w:pPr>
              <w:pStyle w:val="BodyText"/>
            </w:pPr>
            <w:r w:rsidRPr="004D0E65">
              <w:t>Release 1. This is the first release of this unit of competency in the NWP National Water Training Package.</w:t>
            </w:r>
          </w:p>
        </w:tc>
      </w:tr>
    </w:tbl>
    <w:p w:rsidR="00000000" w:rsidRPr="004D0E65" w:rsidP="004D0E65">
      <w:pPr>
        <w:pStyle w:val="NoPaddingFontSize1"/>
      </w:pPr>
    </w:p>
    <w:p w:rsidR="00000000" w:rsidRPr="004D0E65" w:rsidP="004D0E65">
      <w:pPr>
        <w:pStyle w:val="AllowPageBreak"/>
      </w:pPr>
    </w:p>
    <w:p w:rsidR="00000000" w:rsidRPr="004D0E65" w:rsidP="004D0E65">
      <w:pPr>
        <w:pStyle w:val="Heading1"/>
      </w:pPr>
      <w:bookmarkStart w:id="2" w:name="O_1060834"/>
      <w:bookmarkEnd w:id="2"/>
      <w:r w:rsidRPr="004D0E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5">
            <w:pPr>
              <w:pStyle w:val="BodyText"/>
              <w:rPr>
                <w:lang w:val="en-NZ"/>
              </w:rPr>
            </w:pPr>
            <w:r w:rsidRPr="004D0E6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D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5" w:rsidP="004D0E65">
            <w:pPr>
              <w:pStyle w:val="ListBullet"/>
            </w:pPr>
            <w:r w:rsidRPr="004D0E65">
              <w:t>advising affected persons</w:t>
            </w:r>
          </w:p>
          <w:p w:rsidR="00000000" w:rsidRPr="004D0E65" w:rsidP="004D0E65">
            <w:pPr>
              <w:pStyle w:val="ListBullet"/>
            </w:pPr>
            <w:r w:rsidRPr="004D0E65">
              <w:t>collecting, prepa</w:t>
            </w:r>
            <w:r w:rsidRPr="004D0E65">
              <w:t>ring and sending samples for testing</w:t>
            </w:r>
          </w:p>
          <w:p w:rsidR="00000000" w:rsidRPr="004D0E65" w:rsidP="004D0E65">
            <w:pPr>
              <w:pStyle w:val="ListBullet"/>
            </w:pPr>
            <w:r w:rsidRPr="004D0E65">
              <w:t>implementing response plans</w:t>
            </w:r>
          </w:p>
          <w:p w:rsidR="00000000" w:rsidRPr="004D0E65" w:rsidP="004D0E65">
            <w:pPr>
              <w:pStyle w:val="ListBullet"/>
            </w:pPr>
            <w:r w:rsidRPr="004D0E65">
              <w:t>maintaining integrity of samples by following workplace collection procedures</w:t>
            </w:r>
          </w:p>
          <w:p w:rsidR="00000000" w:rsidRPr="004D0E65" w:rsidP="004D0E65">
            <w:pPr>
              <w:pStyle w:val="ListBullet"/>
            </w:pPr>
            <w:r w:rsidRPr="004D0E65">
              <w:t xml:space="preserve">recording and reporting required information and data </w:t>
            </w:r>
          </w:p>
          <w:p w:rsidR="00000000" w:rsidRPr="004D0E65" w:rsidP="004D0E65">
            <w:pPr>
              <w:pStyle w:val="ListBullet"/>
            </w:pPr>
            <w:r w:rsidRPr="004D0E65">
              <w:t>reporting to relevant personnel when extent of outbreak is</w:t>
            </w:r>
            <w:r w:rsidRPr="004D0E65">
              <w:t xml:space="preserve"> outside parameters</w:t>
            </w:r>
          </w:p>
          <w:p w:rsidR="00000000" w:rsidRPr="004D0E65" w:rsidP="004D0E65">
            <w:pPr>
              <w:pStyle w:val="ListBullet"/>
            </w:pPr>
            <w:r w:rsidRPr="004D0E65">
              <w:t>responding to an outbreak using one of the following control methods:</w:t>
            </w:r>
          </w:p>
          <w:p w:rsidR="00000000" w:rsidRPr="004D0E65" w:rsidP="004D0E65">
            <w:pPr>
              <w:pStyle w:val="ListBullet2"/>
            </w:pPr>
            <w:r w:rsidRPr="004D0E65">
              <w:t>barricades</w:t>
            </w:r>
          </w:p>
          <w:p w:rsidR="00000000" w:rsidRPr="004D0E65" w:rsidP="004D0E65">
            <w:pPr>
              <w:pStyle w:val="ListBullet2"/>
            </w:pPr>
            <w:r w:rsidRPr="004D0E65">
              <w:t>public notices</w:t>
            </w:r>
          </w:p>
          <w:p w:rsidR="00000000" w:rsidRPr="004D0E65" w:rsidP="004D0E65">
            <w:pPr>
              <w:pStyle w:val="ListBullet2"/>
            </w:pPr>
            <w:r w:rsidRPr="004D0E65">
              <w:t>signage</w:t>
            </w:r>
          </w:p>
          <w:p w:rsidR="00000000" w:rsidRPr="004D0E65" w:rsidP="004D0E65">
            <w:pPr>
              <w:pStyle w:val="ListBullet"/>
            </w:pPr>
            <w:r w:rsidRPr="004D0E65">
              <w:t>selecting appropriate method of notification</w:t>
            </w:r>
          </w:p>
          <w:p w:rsidR="00000000" w:rsidRPr="004D0E65" w:rsidP="004D0E65">
            <w:pPr>
              <w:pStyle w:val="ListBullet"/>
            </w:pPr>
            <w:r w:rsidRPr="004D0E65">
              <w:t>selecting control methods including isolation of effected the area</w:t>
            </w:r>
          </w:p>
        </w:tc>
      </w:tr>
    </w:tbl>
    <w:p w:rsidR="00000000" w:rsidRPr="004D0E65" w:rsidP="004D0E65">
      <w:pPr>
        <w:pStyle w:val="NoPaddingFontSize1"/>
      </w:pPr>
    </w:p>
    <w:p w:rsidR="00000000" w:rsidRPr="004D0E65" w:rsidP="004D0E65">
      <w:pPr>
        <w:pStyle w:val="AllowPageBreak"/>
      </w:pPr>
    </w:p>
    <w:p w:rsidR="00000000" w:rsidRPr="004D0E65" w:rsidP="004D0E65">
      <w:pPr>
        <w:pStyle w:val="Heading1"/>
      </w:pPr>
      <w:bookmarkStart w:id="3" w:name="O_1060835"/>
      <w:bookmarkEnd w:id="3"/>
      <w:r w:rsidRPr="004D0E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E65">
            <w:pPr>
              <w:pStyle w:val="BodyText"/>
              <w:rPr>
                <w:lang w:val="en-NZ"/>
              </w:rPr>
            </w:pPr>
            <w:r w:rsidRPr="004D0E6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D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5" w:rsidP="004D0E65">
            <w:pPr>
              <w:pStyle w:val="ListBullet"/>
            </w:pPr>
            <w:r w:rsidRPr="004D0E65">
              <w:t>all blue-green algae outbreak areas</w:t>
            </w:r>
          </w:p>
          <w:p w:rsidR="00000000" w:rsidRPr="004D0E65" w:rsidP="004D0E65">
            <w:pPr>
              <w:pStyle w:val="ListBullet"/>
            </w:pPr>
            <w:r w:rsidRPr="004D0E65">
              <w:t>blue-green a</w:t>
            </w:r>
            <w:r w:rsidRPr="004D0E65">
              <w:t>lgae outbreaks including:</w:t>
            </w:r>
          </w:p>
          <w:p w:rsidR="00000000" w:rsidRPr="004D0E65" w:rsidP="004D0E65">
            <w:pPr>
              <w:pStyle w:val="ListBullet2"/>
            </w:pPr>
            <w:r w:rsidRPr="004D0E65">
              <w:t>collection hazards of sampling</w:t>
            </w:r>
          </w:p>
          <w:p w:rsidR="00000000" w:rsidRPr="004D0E65" w:rsidP="004D0E65">
            <w:pPr>
              <w:pStyle w:val="ListBullet2"/>
            </w:pPr>
            <w:r w:rsidRPr="004D0E65">
              <w:t>control methods</w:t>
            </w:r>
          </w:p>
          <w:p w:rsidR="00000000" w:rsidRPr="004D0E65" w:rsidP="004D0E65">
            <w:pPr>
              <w:pStyle w:val="ListBullet2"/>
            </w:pPr>
            <w:r w:rsidRPr="004D0E65">
              <w:t>impact on water and wastewater treatment processes</w:t>
            </w:r>
          </w:p>
          <w:p w:rsidR="00000000" w:rsidRPr="004D0E65" w:rsidP="004D0E65">
            <w:pPr>
              <w:pStyle w:val="ListBullet2"/>
            </w:pPr>
            <w:r w:rsidRPr="004D0E65">
              <w:t>outbreak locations</w:t>
            </w:r>
          </w:p>
          <w:p w:rsidR="00000000" w:rsidRPr="004D0E65" w:rsidP="004D0E65">
            <w:pPr>
              <w:pStyle w:val="ListBullet2"/>
            </w:pPr>
            <w:r w:rsidRPr="004D0E65">
              <w:t>sampling procedures and techniques</w:t>
            </w:r>
          </w:p>
          <w:p w:rsidR="00000000" w:rsidRPr="004D0E65" w:rsidP="004D0E65">
            <w:pPr>
              <w:pStyle w:val="ListBullet2"/>
            </w:pPr>
            <w:r w:rsidRPr="004D0E65">
              <w:t>types and purposes of samples</w:t>
            </w:r>
          </w:p>
          <w:p w:rsidR="00000000" w:rsidRPr="004D0E65" w:rsidP="004D0E65">
            <w:pPr>
              <w:pStyle w:val="ListBullet"/>
            </w:pPr>
            <w:r w:rsidRPr="004D0E65">
              <w:t>control methods including:</w:t>
            </w:r>
          </w:p>
          <w:p w:rsidR="00000000" w:rsidRPr="004D0E65" w:rsidP="004D0E65">
            <w:pPr>
              <w:pStyle w:val="ListBullet2"/>
            </w:pPr>
            <w:r w:rsidRPr="004D0E65">
              <w:t>barricades</w:t>
            </w:r>
          </w:p>
          <w:p w:rsidR="00000000" w:rsidRPr="004D0E65" w:rsidP="004D0E65">
            <w:pPr>
              <w:pStyle w:val="ListBullet2"/>
            </w:pPr>
            <w:r w:rsidRPr="004D0E65">
              <w:t>public notices</w:t>
            </w:r>
          </w:p>
          <w:p w:rsidR="00000000" w:rsidRPr="004D0E65" w:rsidP="004D0E65">
            <w:pPr>
              <w:pStyle w:val="ListBullet2"/>
            </w:pPr>
            <w:r w:rsidRPr="004D0E65">
              <w:t>signage</w:t>
            </w:r>
          </w:p>
          <w:p w:rsidR="00000000" w:rsidRPr="004D0E65" w:rsidP="004D0E65">
            <w:pPr>
              <w:pStyle w:val="ListBullet"/>
            </w:pPr>
            <w:r w:rsidRPr="004D0E65">
              <w:t>effects of weather and conditions on algae blooms</w:t>
            </w:r>
          </w:p>
          <w:p w:rsidR="00000000" w:rsidRPr="004D0E65" w:rsidP="004D0E65">
            <w:pPr>
              <w:pStyle w:val="ListBullet"/>
            </w:pPr>
            <w:r w:rsidRPr="004D0E65">
              <w:t xml:space="preserve">emergency planning </w:t>
            </w:r>
          </w:p>
          <w:p w:rsidR="00000000" w:rsidRPr="004D0E65" w:rsidP="004D0E65">
            <w:pPr>
              <w:pStyle w:val="ListBullet"/>
            </w:pPr>
            <w:r w:rsidRPr="004D0E65">
              <w:t>hazardous materials handling for algaecides</w:t>
            </w:r>
          </w:p>
          <w:p w:rsidR="00000000" w:rsidRPr="004D0E65" w:rsidP="004D0E65">
            <w:pPr>
              <w:pStyle w:val="ListBullet"/>
            </w:pPr>
            <w:r w:rsidRPr="004D0E65">
              <w:t>problems caused by blue-green algal blooms</w:t>
            </w:r>
          </w:p>
          <w:p w:rsidR="00000000" w:rsidRPr="004D0E65" w:rsidP="004D0E65">
            <w:pPr>
              <w:pStyle w:val="ListBullet"/>
            </w:pPr>
            <w:r w:rsidRPr="004D0E65">
              <w:t>relevant legislation, regulations and workplace procedures</w:t>
            </w:r>
          </w:p>
          <w:p w:rsidR="00000000" w:rsidRPr="004D0E65" w:rsidP="004D0E65">
            <w:pPr>
              <w:pStyle w:val="ListBullet"/>
            </w:pPr>
            <w:r w:rsidRPr="004D0E65">
              <w:t>safety data shee</w:t>
            </w:r>
            <w:r w:rsidRPr="004D0E65">
              <w:t>ts</w:t>
            </w:r>
          </w:p>
          <w:p w:rsidR="00000000" w:rsidRPr="004D0E65" w:rsidP="004D0E65">
            <w:pPr>
              <w:pStyle w:val="ListBullet"/>
            </w:pPr>
            <w:r w:rsidRPr="004D0E65">
              <w:t>sample collections including:</w:t>
            </w:r>
          </w:p>
          <w:p w:rsidR="00000000" w:rsidRPr="004D0E65" w:rsidP="004D0E65">
            <w:pPr>
              <w:pStyle w:val="ListBullet2"/>
            </w:pPr>
            <w:r w:rsidRPr="004D0E65">
              <w:t>labelling information</w:t>
            </w:r>
          </w:p>
          <w:p w:rsidR="00000000" w:rsidRPr="004D0E65" w:rsidP="004D0E65">
            <w:pPr>
              <w:pStyle w:val="ListBullet2"/>
            </w:pPr>
            <w:r w:rsidRPr="004D0E65">
              <w:t>location of samples</w:t>
            </w:r>
          </w:p>
          <w:p w:rsidR="00000000" w:rsidRPr="004D0E65" w:rsidP="004D0E65">
            <w:pPr>
              <w:pStyle w:val="ListBullet2"/>
            </w:pPr>
            <w:r w:rsidRPr="004D0E65">
              <w:t>sample types</w:t>
            </w:r>
          </w:p>
          <w:p w:rsidR="00000000" w:rsidRPr="004D0E65" w:rsidP="004D0E65">
            <w:pPr>
              <w:pStyle w:val="ListBullet2"/>
            </w:pPr>
            <w:r w:rsidRPr="004D0E65">
              <w:t>time of collection</w:t>
            </w:r>
          </w:p>
        </w:tc>
      </w:tr>
    </w:tbl>
    <w:p w:rsidR="00000000" w:rsidRPr="004D0E65" w:rsidP="004D0E65">
      <w:pPr>
        <w:pStyle w:val="NoPaddingFontSize1"/>
      </w:pPr>
    </w:p>
    <w:p w:rsidR="00000000" w:rsidRPr="004D0E65" w:rsidP="004D0E65">
      <w:pPr>
        <w:pStyle w:val="AllowPageBreak"/>
      </w:pPr>
    </w:p>
    <w:p w:rsidR="00000000" w:rsidRPr="004D0E65" w:rsidP="004D0E65">
      <w:pPr>
        <w:pStyle w:val="Heading1"/>
      </w:pPr>
      <w:bookmarkStart w:id="4" w:name="O_1060836"/>
      <w:bookmarkEnd w:id="4"/>
      <w:r w:rsidRPr="004D0E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0E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E65" w:rsidP="004D0E65">
            <w:pPr>
              <w:pStyle w:val="BodyText"/>
            </w:pPr>
            <w:r w:rsidRPr="004D0E65">
              <w:t xml:space="preserve">Assessors must hold credentials specified within the Standards for Registered Training Organisations current at the time of assessment. </w:t>
            </w:r>
          </w:p>
          <w:p w:rsidR="00000000" w:rsidRPr="004D0E65" w:rsidP="004D0E65">
            <w:pPr>
              <w:pStyle w:val="BodyText"/>
            </w:pPr>
            <w:r w:rsidRPr="004D0E65">
              <w:t>Assessment must satisfy the Principles of Assessment and Rules of Evidence and all regulatory requirements included wit</w:t>
            </w:r>
            <w:r w:rsidRPr="004D0E65">
              <w:t>hin the Standards for Registered Training Organisations current at the time of assessment.</w:t>
            </w:r>
          </w:p>
          <w:p w:rsidR="00000000" w:rsidRPr="004D0E65" w:rsidP="004D0E65">
            <w:pPr>
              <w:pStyle w:val="BodyText"/>
            </w:pPr>
            <w:r w:rsidRPr="004D0E65">
              <w:t>Assessment must occur in workplace operational situations where it is appropriate to do so; where this is not appropriate, assessment must occur in simulated workpla</w:t>
            </w:r>
            <w:r w:rsidRPr="004D0E65">
              <w:t>ce operational situations that replicate workplace conditions.</w:t>
            </w:r>
          </w:p>
          <w:p w:rsidR="00000000" w:rsidRPr="004D0E65" w:rsidP="004D0E65">
            <w:pPr>
              <w:pStyle w:val="BodyText"/>
            </w:pPr>
            <w:r w:rsidRPr="004D0E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D0E65" w:rsidP="004D0E65">
            <w:pPr>
              <w:pStyle w:val="BodyText"/>
            </w:pPr>
            <w:r w:rsidRPr="004D0E65">
              <w:t xml:space="preserve">Resources for assessment </w:t>
            </w:r>
            <w:r w:rsidRPr="004D0E65">
              <w:t>must include access to:</w:t>
            </w:r>
          </w:p>
          <w:p w:rsidR="00000000" w:rsidRPr="004D0E65" w:rsidP="004D0E65">
            <w:pPr>
              <w:pStyle w:val="ListBullet"/>
            </w:pPr>
            <w:r w:rsidRPr="004D0E65">
              <w:t>relevant and appropriate materials, tools, equipment and personal protective equipment currently used in industry</w:t>
            </w:r>
          </w:p>
          <w:p w:rsidR="00000000" w:rsidRPr="004D0E65" w:rsidP="004D0E65">
            <w:pPr>
              <w:pStyle w:val="ListBullet"/>
            </w:pPr>
            <w:r w:rsidRPr="004D0E65">
              <w:t>applicable documentation including legislation, regulations, codes of practice, workplace procedures and operation ma</w:t>
            </w:r>
            <w:r w:rsidRPr="004D0E65">
              <w:t>nuals.</w:t>
            </w:r>
          </w:p>
        </w:tc>
      </w:tr>
    </w:tbl>
    <w:p w:rsidR="00000000" w:rsidRPr="004D0E65" w:rsidP="004D0E65">
      <w:pPr>
        <w:pStyle w:val="NoPaddingFontSize1"/>
      </w:pPr>
    </w:p>
    <w:p w:rsidR="00000000" w:rsidRPr="004D0E65" w:rsidP="004D0E65">
      <w:pPr>
        <w:pStyle w:val="AllowPageBreak"/>
      </w:pPr>
    </w:p>
    <w:p w:rsidR="00000000" w:rsidRPr="004D0E65" w:rsidP="004D0E65">
      <w:pPr>
        <w:pStyle w:val="Heading1"/>
      </w:pPr>
      <w:bookmarkStart w:id="5" w:name="O_1060839"/>
      <w:bookmarkEnd w:id="5"/>
      <w:r w:rsidRPr="004D0E65">
        <w:t>Links</w:t>
      </w:r>
    </w:p>
    <w:p w:rsidR="00000000" w:rsidRPr="004D0E65" w:rsidP="00066F87">
      <w:pPr>
        <w:pStyle w:val="BodyText"/>
      </w:pPr>
      <w:r w:rsidRPr="004D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503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D0E65" w:rsidP="00066F87">
      <w:pPr>
        <w:pStyle w:val="BodyText"/>
      </w:pPr>
      <w:r w:rsidRPr="004D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503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D0E65" w:rsidP="00066F87">
      <w:pPr>
        <w:pStyle w:val="BodyText"/>
      </w:pPr>
      <w:r w:rsidRPr="004D0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503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D0E65" w:rsidP="004D0E65"/>
    <w:sectPr w:rsidSect="004D0E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5" w:rsidRPr="00066F87" w:rsidP="00066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87" w:rsidP="004D0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6F87" w:rsidP="004D0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6F87" w:rsidP="004D0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E65" w:rsidRPr="00066F87" w:rsidP="00066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F87" w:rsidRPr="002D2AF8" w:rsidP="004D0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NWPCAD001 Respond to blue-green algae outbreaks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66F87" w:rsidP="004D0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927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B4D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2E6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E65"/>
  </w:style>
  <w:style w:type="character" w:customStyle="1" w:styleId="Heading1Char">
    <w:name w:val="Heading 1 Char"/>
    <w:basedOn w:val="DefaultParagraphFont"/>
    <w:link w:val="Heading1"/>
    <w:rsid w:val="004D0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E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E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0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E65"/>
    <w:rPr>
      <w:b/>
      <w:spacing w:val="0"/>
    </w:rPr>
  </w:style>
  <w:style w:type="paragraph" w:customStyle="1" w:styleId="SuperTitle">
    <w:name w:val="SuperTitle"/>
    <w:basedOn w:val="Title"/>
    <w:rsid w:val="004D0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E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E65"/>
    <w:rPr>
      <w:i/>
    </w:rPr>
  </w:style>
  <w:style w:type="paragraph" w:styleId="Caption">
    <w:name w:val="caption"/>
    <w:basedOn w:val="BodyText"/>
    <w:next w:val="Normal"/>
    <w:qFormat/>
    <w:rsid w:val="004D0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E65"/>
  </w:style>
  <w:style w:type="paragraph" w:styleId="TableofFigures">
    <w:name w:val="table of figures"/>
    <w:basedOn w:val="Normal"/>
    <w:next w:val="Normal"/>
    <w:semiHidden/>
    <w:rsid w:val="004D0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0E65"/>
    <w:rPr>
      <w:rFonts w:ascii="Wingdings" w:hAnsi="Wingdings"/>
    </w:rPr>
  </w:style>
  <w:style w:type="paragraph" w:customStyle="1" w:styleId="TableHeading">
    <w:name w:val="Table Heading"/>
    <w:basedOn w:val="HeadingBase"/>
    <w:rsid w:val="004D0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E65"/>
    <w:rPr>
      <w:color w:val="0033CC"/>
      <w:u w:val="none"/>
    </w:rPr>
  </w:style>
  <w:style w:type="paragraph" w:customStyle="1" w:styleId="BodyTextRight">
    <w:name w:val="Body Text Right"/>
    <w:basedOn w:val="BodyText"/>
    <w:rsid w:val="004D0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E65"/>
    <w:rPr>
      <w:sz w:val="32"/>
    </w:rPr>
  </w:style>
  <w:style w:type="paragraph" w:customStyle="1" w:styleId="HeadingProcedure">
    <w:name w:val="Heading Procedure"/>
    <w:basedOn w:val="HeadingBase"/>
    <w:next w:val="Normal"/>
    <w:rsid w:val="004D0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E65"/>
    <w:pPr>
      <w:spacing w:before="60" w:after="60"/>
    </w:pPr>
  </w:style>
  <w:style w:type="paragraph" w:styleId="ListContinue">
    <w:name w:val="List Continue"/>
    <w:basedOn w:val="List"/>
    <w:rsid w:val="004D0E65"/>
    <w:pPr>
      <w:ind w:firstLine="0"/>
    </w:pPr>
  </w:style>
  <w:style w:type="paragraph" w:customStyle="1" w:styleId="ListNote">
    <w:name w:val="List Note"/>
    <w:basedOn w:val="List"/>
    <w:rsid w:val="004D0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E65"/>
    <w:rPr>
      <w:rFonts w:ascii="Courier New" w:hAnsi="Courier New"/>
    </w:rPr>
  </w:style>
  <w:style w:type="paragraph" w:customStyle="1" w:styleId="NoteBullet">
    <w:name w:val="Note Bullet"/>
    <w:basedOn w:val="Note"/>
    <w:rsid w:val="004D0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0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E65"/>
    <w:rPr>
      <w:b/>
      <w:smallCaps/>
    </w:rPr>
  </w:style>
  <w:style w:type="paragraph" w:customStyle="1" w:styleId="TableListNumber">
    <w:name w:val="Table List Number"/>
    <w:basedOn w:val="ListNumber"/>
    <w:rsid w:val="004D0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E65"/>
    <w:pPr>
      <w:numPr>
        <w:numId w:val="9"/>
      </w:numPr>
    </w:pPr>
  </w:style>
  <w:style w:type="paragraph" w:customStyle="1" w:styleId="ListAlpha2">
    <w:name w:val="List Alpha 2"/>
    <w:basedOn w:val="List2"/>
    <w:rsid w:val="004D0E65"/>
    <w:pPr>
      <w:numPr>
        <w:numId w:val="8"/>
      </w:numPr>
    </w:pPr>
  </w:style>
  <w:style w:type="paragraph" w:styleId="List2">
    <w:name w:val="List 2"/>
    <w:basedOn w:val="BodyText"/>
    <w:rsid w:val="004D0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0E65"/>
    <w:pPr>
      <w:numPr>
        <w:numId w:val="4"/>
      </w:numPr>
    </w:pPr>
  </w:style>
  <w:style w:type="paragraph" w:styleId="ListContinue2">
    <w:name w:val="List Continue 2"/>
    <w:basedOn w:val="List2"/>
    <w:rsid w:val="004D0E65"/>
    <w:pPr>
      <w:ind w:firstLine="0"/>
    </w:pPr>
  </w:style>
  <w:style w:type="paragraph" w:styleId="ListContinue3">
    <w:name w:val="List Continue 3"/>
    <w:basedOn w:val="List3"/>
    <w:rsid w:val="004D0E65"/>
    <w:pPr>
      <w:ind w:left="1021" w:firstLine="0"/>
    </w:pPr>
  </w:style>
  <w:style w:type="paragraph" w:styleId="ListContinue4">
    <w:name w:val="List Continue 4"/>
    <w:basedOn w:val="List4"/>
    <w:rsid w:val="004D0E65"/>
    <w:pPr>
      <w:ind w:firstLine="0"/>
    </w:pPr>
  </w:style>
  <w:style w:type="paragraph" w:styleId="ListContinue5">
    <w:name w:val="List Continue 5"/>
    <w:basedOn w:val="List5"/>
    <w:rsid w:val="004D0E65"/>
    <w:pPr>
      <w:ind w:firstLine="0"/>
    </w:pPr>
  </w:style>
  <w:style w:type="paragraph" w:styleId="ListNumber3">
    <w:name w:val="List Number 3"/>
    <w:basedOn w:val="List3"/>
    <w:rsid w:val="004D0E65"/>
    <w:pPr>
      <w:numPr>
        <w:numId w:val="5"/>
      </w:numPr>
    </w:pPr>
  </w:style>
  <w:style w:type="paragraph" w:styleId="ListNumber4">
    <w:name w:val="List Number 4"/>
    <w:basedOn w:val="List4"/>
    <w:rsid w:val="004D0E65"/>
    <w:pPr>
      <w:numPr>
        <w:numId w:val="6"/>
      </w:numPr>
    </w:pPr>
  </w:style>
  <w:style w:type="paragraph" w:styleId="ListNumber5">
    <w:name w:val="List Number 5"/>
    <w:basedOn w:val="List5"/>
    <w:rsid w:val="004D0E65"/>
    <w:pPr>
      <w:numPr>
        <w:numId w:val="7"/>
      </w:numPr>
    </w:pPr>
  </w:style>
  <w:style w:type="paragraph" w:styleId="BlockText">
    <w:name w:val="Block Text"/>
    <w:basedOn w:val="Normal"/>
    <w:rsid w:val="004D0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E65"/>
    <w:rPr>
      <w:sz w:val="16"/>
      <w:vertAlign w:val="superscript"/>
    </w:rPr>
  </w:style>
  <w:style w:type="character" w:customStyle="1" w:styleId="Symbols">
    <w:name w:val="Symbols"/>
    <w:basedOn w:val="DefaultParagraphFont"/>
    <w:rsid w:val="004D0E65"/>
    <w:rPr>
      <w:rFonts w:ascii="Symbol" w:hAnsi="Symbol"/>
    </w:rPr>
  </w:style>
  <w:style w:type="character" w:customStyle="1" w:styleId="MenuOptions">
    <w:name w:val="Menu Options"/>
    <w:basedOn w:val="DefaultParagraphFont"/>
    <w:rsid w:val="004D0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E65"/>
    <w:rPr>
      <w:b/>
    </w:rPr>
  </w:style>
  <w:style w:type="character" w:customStyle="1" w:styleId="Underlined">
    <w:name w:val="Underlined"/>
    <w:basedOn w:val="DefaultParagraphFont"/>
    <w:rsid w:val="004D0E65"/>
    <w:rPr>
      <w:u w:val="single"/>
    </w:rPr>
  </w:style>
  <w:style w:type="paragraph" w:customStyle="1" w:styleId="TableBodyTextRight">
    <w:name w:val="Table Body Text Right"/>
    <w:basedOn w:val="TableBodyText"/>
    <w:rsid w:val="004D0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E65"/>
    <w:rPr>
      <w:sz w:val="18"/>
    </w:rPr>
  </w:style>
  <w:style w:type="paragraph" w:customStyle="1" w:styleId="BodySmallRight">
    <w:name w:val="Body Small Right"/>
    <w:basedOn w:val="BodyTextRight"/>
    <w:rsid w:val="004D0E65"/>
    <w:rPr>
      <w:sz w:val="18"/>
      <w:szCs w:val="18"/>
    </w:rPr>
  </w:style>
  <w:style w:type="paragraph" w:customStyle="1" w:styleId="MarginEdition">
    <w:name w:val="Margin Edition"/>
    <w:basedOn w:val="MarginNote"/>
    <w:rsid w:val="004D0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E65"/>
    <w:rPr>
      <w:sz w:val="2"/>
      <w:szCs w:val="2"/>
    </w:rPr>
  </w:style>
  <w:style w:type="character" w:customStyle="1" w:styleId="Small">
    <w:name w:val="Small"/>
    <w:basedOn w:val="DefaultParagraphFont"/>
    <w:rsid w:val="004D0E65"/>
    <w:rPr>
      <w:sz w:val="16"/>
    </w:rPr>
  </w:style>
  <w:style w:type="paragraph" w:customStyle="1" w:styleId="WideTable">
    <w:name w:val="Wide Table"/>
    <w:basedOn w:val="Normal"/>
    <w:rsid w:val="004D0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E65"/>
  </w:style>
  <w:style w:type="paragraph" w:styleId="Quote">
    <w:name w:val="Quote"/>
    <w:basedOn w:val="Heading1"/>
    <w:link w:val="QuoteChar"/>
    <w:qFormat/>
    <w:rsid w:val="004D0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E65"/>
    <w:pPr>
      <w:pageBreakBefore/>
    </w:pPr>
  </w:style>
  <w:style w:type="paragraph" w:customStyle="1" w:styleId="Border">
    <w:name w:val="Border"/>
    <w:basedOn w:val="Normal"/>
    <w:qFormat/>
    <w:rsid w:val="004D0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E65"/>
    <w:rPr>
      <w:u w:val="single"/>
    </w:rPr>
  </w:style>
  <w:style w:type="character" w:customStyle="1" w:styleId="BoldandItalics">
    <w:name w:val="Bold and Italics"/>
    <w:qFormat/>
    <w:rsid w:val="004D0E65"/>
    <w:rPr>
      <w:b/>
      <w:i/>
      <w:u w:val="none"/>
    </w:rPr>
  </w:style>
  <w:style w:type="paragraph" w:styleId="BalloonText">
    <w:name w:val="Balloon Text"/>
    <w:basedOn w:val="Normal"/>
    <w:link w:val="BalloonTextChar"/>
    <w:rsid w:val="004D0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E65"/>
    <w:pPr>
      <w:spacing w:before="0" w:after="0"/>
    </w:pPr>
  </w:style>
  <w:style w:type="paragraph" w:customStyle="1" w:styleId="BodyTextBold">
    <w:name w:val="Body Text Bold"/>
    <w:basedOn w:val="BodyText"/>
    <w:qFormat/>
    <w:rsid w:val="004D0E65"/>
    <w:rPr>
      <w:b/>
    </w:rPr>
  </w:style>
  <w:style w:type="character" w:styleId="Hyperlink">
    <w:name w:val="Hyperlink"/>
    <w:basedOn w:val="DefaultParagraphFont"/>
    <w:uiPriority w:val="99"/>
    <w:unhideWhenUsed/>
    <w:rsid w:val="00066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3306</Characters>
  <Application>Microsoft Office Word</Application>
  <DocSecurity>0</DocSecurity>
  <Lines>91</Lines>
  <Paragraphs>69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NWPCAD001 Respond to blue-green algae outbreaks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2022-12-07T02:08:00Z</dcterms:created>
  <dcterms:modified xsi:type="dcterms:W3CDTF">2022-12-07T02:08:00Z</dcterms:modified>
</cp:coreProperties>
</file>