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D1C" w:rsidP="00AA0D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NWP40515 Certificate IV in Water Industry Operations</w:t>
      </w:r>
      <w:r>
        <w:fldChar w:fldCharType="end"/>
      </w:r>
    </w:p>
    <w:p w:rsidR="00AA0D1C" w:rsidP="00AA0D1C">
      <w:pPr>
        <w:pStyle w:val="Version"/>
        <w:sectPr w:rsidSect="003C7F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C7F79" w:rsidP="003C7F79">
      <w:pPr>
        <w:pStyle w:val="SuperHeading"/>
      </w:pPr>
      <w:r w:rsidRPr="003C7F79">
        <w:t>NWP40515 Certificate IV in Water Industry Operations</w:t>
      </w:r>
    </w:p>
    <w:p w:rsidR="00000000" w:rsidRPr="003C7F79" w:rsidP="003C7F79">
      <w:pPr>
        <w:pStyle w:val="Heading1"/>
      </w:pPr>
      <w:bookmarkStart w:id="1" w:name="O_1068195"/>
      <w:bookmarkEnd w:id="1"/>
      <w:r w:rsidRPr="003C7F7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79" w:rsidP="003C7F79">
            <w:pPr>
              <w:pStyle w:val="BodyText"/>
            </w:pPr>
            <w:r w:rsidRPr="003C7F79">
              <w:t>Release 2: This is the second release of this qualification in NWP Water Training Package with updated unit codes and details.</w:t>
            </w:r>
          </w:p>
          <w:p w:rsidR="00000000" w:rsidRPr="003C7F79" w:rsidP="003C7F79">
            <w:pPr>
              <w:pStyle w:val="BodyText"/>
            </w:pPr>
            <w:r w:rsidRPr="003C7F79">
              <w:t>Release 1: This qualification was released in NWP Water Training Package release 1.0 and m</w:t>
            </w:r>
            <w:r w:rsidRPr="003C7F79">
              <w:t>eets the Standards for Training Packages.</w:t>
            </w:r>
          </w:p>
          <w:p w:rsidR="00000000" w:rsidRPr="003C7F79" w:rsidP="003C7F79">
            <w:pPr>
              <w:pStyle w:val="ListBullet"/>
            </w:pPr>
            <w:r w:rsidRPr="003C7F79">
              <w:t>New qualification. Streams developed to better reflect occupational outcomes.</w:t>
            </w:r>
          </w:p>
        </w:tc>
      </w:tr>
    </w:tbl>
    <w:p w:rsidR="00000000" w:rsidRPr="003C7F79" w:rsidP="003C7F79">
      <w:pPr>
        <w:pStyle w:val="NoPaddingFontSize1"/>
      </w:pPr>
    </w:p>
    <w:p w:rsidR="00000000" w:rsidRPr="003C7F79" w:rsidP="003C7F79">
      <w:pPr>
        <w:pStyle w:val="AllowPageBreak"/>
      </w:pPr>
    </w:p>
    <w:p w:rsidR="00000000" w:rsidRPr="003C7F79" w:rsidP="003C7F79">
      <w:pPr>
        <w:pStyle w:val="Heading1"/>
      </w:pPr>
      <w:bookmarkStart w:id="2" w:name="O_1068194"/>
      <w:bookmarkEnd w:id="2"/>
      <w:r w:rsidRPr="003C7F79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79" w:rsidP="003C7F79">
            <w:pPr>
              <w:pStyle w:val="BodyText"/>
            </w:pPr>
            <w:r w:rsidRPr="003C7F79">
              <w:t>This qualification allows for the attainment of general competencies in water industry o</w:t>
            </w:r>
            <w:r w:rsidRPr="003C7F79">
              <w:t xml:space="preserve">perations or specialisation in networks, source, hydrography, irrigation or trade waste. </w:t>
            </w:r>
          </w:p>
          <w:p w:rsidR="00000000" w:rsidRPr="003C7F79" w:rsidP="003C7F79">
            <w:pPr>
              <w:pStyle w:val="BodyText"/>
            </w:pPr>
            <w:r w:rsidRPr="003C7F79">
              <w:t xml:space="preserve">The general qualification covers the skills for those who have supervisory responsibility and require a broad range of skills. </w:t>
            </w:r>
          </w:p>
          <w:p w:rsidR="00000000" w:rsidRPr="003C7F79" w:rsidP="003C7F79">
            <w:pPr>
              <w:pStyle w:val="BodyText"/>
            </w:pPr>
            <w:r w:rsidRPr="003C7F79">
              <w:t>The networks specialisation covers the</w:t>
            </w:r>
            <w:r w:rsidRPr="003C7F79">
              <w:t xml:space="preserve"> skills required to operate, construct, and maintain water and wastewater networks </w:t>
            </w:r>
          </w:p>
          <w:p w:rsidR="00000000" w:rsidRPr="003C7F79" w:rsidP="003C7F79">
            <w:pPr>
              <w:pStyle w:val="BodyText"/>
            </w:pPr>
            <w:r w:rsidRPr="003C7F79">
              <w:t>The source specialisation covers the skills required to monitor and operate catchment, weirs, locks, dams, rivers, reservoirs, bulk water and groundwater management and imp</w:t>
            </w:r>
            <w:r w:rsidRPr="003C7F79">
              <w:t>lement operational and safety plans.</w:t>
            </w:r>
          </w:p>
          <w:p w:rsidR="00000000" w:rsidRPr="003C7F79" w:rsidP="003C7F79">
            <w:pPr>
              <w:pStyle w:val="BodyText"/>
            </w:pPr>
            <w:r w:rsidRPr="003C7F79">
              <w:t>The hydrography specialisation covers the skills required to measure, collect and analyse hydrometric information and review the accumulated data to develop water management plans for inland water systems including rive</w:t>
            </w:r>
            <w:r w:rsidRPr="003C7F79">
              <w:t xml:space="preserve">rs, lakes, stormwater and sewage. </w:t>
            </w:r>
          </w:p>
          <w:p w:rsidR="00000000" w:rsidRPr="003C7F79" w:rsidP="003C7F79">
            <w:pPr>
              <w:pStyle w:val="BodyText"/>
            </w:pPr>
            <w:r w:rsidRPr="003C7F79">
              <w:t xml:space="preserve">The irrigation specialisation covers the skills required to coordinate and monitor the operation of irrigation systems. </w:t>
            </w:r>
          </w:p>
          <w:p w:rsidR="00000000" w:rsidRPr="003C7F79" w:rsidP="003C7F79">
            <w:pPr>
              <w:pStyle w:val="BodyText"/>
            </w:pPr>
            <w:r w:rsidRPr="003C7F79">
              <w:t>The trade waste specialisation covers</w:t>
            </w:r>
            <w:r w:rsidRPr="003C7F79">
              <w:t xml:space="preserve"> the competencies in compliance, licencing and regulations of trade waste management.</w:t>
            </w:r>
          </w:p>
          <w:p w:rsidR="00000000" w:rsidRPr="003C7F79" w:rsidP="003C7F79">
            <w:pPr>
              <w:pStyle w:val="BodyText"/>
            </w:pPr>
            <w:r w:rsidRPr="003C7F79">
              <w:t>No licensing, legislative or certification requirements apply to this qualification at the time of publication.</w:t>
            </w:r>
          </w:p>
          <w:p w:rsidR="00000000" w:rsidRPr="003C7F79" w:rsidP="003C7F79">
            <w:pPr>
              <w:pStyle w:val="BodyText"/>
            </w:pPr>
            <w:r w:rsidRPr="003C7F79">
              <w:t>Additional qualification advice</w:t>
            </w:r>
          </w:p>
          <w:p w:rsidR="00000000" w:rsidRPr="003C7F79" w:rsidP="003C7F79">
            <w:pPr>
              <w:pStyle w:val="BodyText"/>
            </w:pPr>
            <w:r w:rsidRPr="003C7F79">
              <w:t>Where a defined specialisa</w:t>
            </w:r>
            <w:r w:rsidRPr="003C7F79">
              <w:t>tion is completed as listed below, the resultant testamur can be titled: Certificate IV in Water Industry Operations (field of study) e.g. Certificate IV in Water Industry Operations (Networks).</w:t>
            </w:r>
          </w:p>
        </w:tc>
      </w:tr>
    </w:tbl>
    <w:p w:rsidR="00000000" w:rsidRPr="003C7F79" w:rsidP="003C7F79">
      <w:pPr>
        <w:pStyle w:val="NoPaddingFontSize1"/>
      </w:pPr>
    </w:p>
    <w:p w:rsidR="00000000" w:rsidRPr="003C7F79" w:rsidP="003C7F79">
      <w:pPr>
        <w:pStyle w:val="AllowPageBreak"/>
      </w:pPr>
    </w:p>
    <w:p w:rsidR="00000000" w:rsidRPr="003C7F79" w:rsidP="003C7F79">
      <w:pPr>
        <w:pStyle w:val="Heading1"/>
      </w:pPr>
      <w:bookmarkStart w:id="3" w:name="O_1068214"/>
      <w:bookmarkEnd w:id="3"/>
      <w:r w:rsidRPr="003C7F79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79" w:rsidP="003C7F79">
            <w:pPr>
              <w:pStyle w:val="BodyText"/>
            </w:pPr>
            <w:r w:rsidRPr="003C7F79">
              <w:t>There are no entry re</w:t>
            </w:r>
            <w:r w:rsidRPr="003C7F79">
              <w:t>quirements for this qualification.</w:t>
            </w:r>
          </w:p>
        </w:tc>
      </w:tr>
    </w:tbl>
    <w:p w:rsidR="00000000" w:rsidRPr="003C7F79" w:rsidP="003C7F79">
      <w:pPr>
        <w:pStyle w:val="NoPaddingFontSize1"/>
      </w:pPr>
    </w:p>
    <w:p w:rsidR="00000000" w:rsidRPr="003C7F79" w:rsidP="003C7F79">
      <w:pPr>
        <w:pStyle w:val="AllowPageBreak"/>
      </w:pPr>
    </w:p>
    <w:p w:rsidR="00000000" w:rsidRPr="003C7F79" w:rsidP="003C7F79">
      <w:pPr>
        <w:pStyle w:val="Heading1"/>
      </w:pPr>
      <w:bookmarkStart w:id="4" w:name="O_1068193"/>
      <w:bookmarkEnd w:id="4"/>
      <w:r w:rsidRPr="003C7F79">
        <w:t>Packaging Rules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49"/>
        <w:gridCol w:w="7649"/>
      </w:tblGrid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79" w:rsidP="003C7F79">
            <w:pPr>
              <w:pStyle w:val="BodyText"/>
            </w:pPr>
            <w:r w:rsidRPr="003C7F79">
              <w:rPr>
                <w:rStyle w:val="SpecialBold"/>
              </w:rPr>
              <w:t>11 units of competency</w:t>
            </w:r>
            <w:r w:rsidRPr="003C7F79">
              <w:t xml:space="preserve"> are required for this qualification:</w:t>
            </w:r>
          </w:p>
          <w:tbl>
            <w:tblPr>
              <w:tblW w:w="0" w:type="auto"/>
              <w:tblLayout w:type="fixed"/>
              <w:tblCellMar>
                <w:left w:w="62" w:type="dxa"/>
                <w:right w:w="62" w:type="dxa"/>
              </w:tblCellMar>
              <w:tblLook w:val="0000"/>
            </w:tblPr>
            <w:tblGrid>
              <w:gridCol w:w="9374"/>
            </w:tblGrid>
            <w:tr>
              <w:tblPrEx>
                <w:tblW w:w="0" w:type="auto"/>
                <w:tblLayout w:type="fixed"/>
                <w:tblCellMar>
                  <w:left w:w="62" w:type="dxa"/>
                  <w:right w:w="62" w:type="dxa"/>
                </w:tblCellMar>
                <w:tblLook w:val="0000"/>
              </w:tblPrEx>
              <w:tc>
                <w:tcPr>
                  <w:tcW w:w="9374" w:type="dxa"/>
                  <w:shd w:val="clear" w:color="auto" w:fill="FFFFFF"/>
                  <w:tcMar>
                    <w:top w:w="0" w:type="dxa"/>
                    <w:left w:w="62" w:type="dxa"/>
                    <w:bottom w:w="0" w:type="dxa"/>
                    <w:right w:w="62" w:type="dxa"/>
                  </w:tcMar>
                </w:tcPr>
                <w:p w:rsidR="00000000" w:rsidRPr="003C7F79" w:rsidP="003C7F79">
                  <w:pPr>
                    <w:pStyle w:val="BodyText"/>
                  </w:pPr>
                  <w:r w:rsidRPr="003C7F79">
                    <w:t>No equivalent qualification.</w:t>
                  </w:r>
                </w:p>
              </w:tc>
            </w:tr>
          </w:tbl>
          <w:p w:rsidR="00000000" w:rsidRPr="003C7F79" w:rsidP="003C7F79">
            <w:pPr>
              <w:pStyle w:val="BodyText"/>
            </w:pPr>
            <w:r w:rsidRPr="003C7F79">
              <w:t>•</w:t>
            </w:r>
            <w:r w:rsidRPr="003C7F79">
              <w:tab/>
            </w:r>
            <w:r w:rsidRPr="003C7F79">
              <w:rPr>
                <w:rStyle w:val="SpecialBold"/>
              </w:rPr>
              <w:t>2 core units</w:t>
            </w:r>
          </w:p>
          <w:p w:rsidR="00000000" w:rsidRPr="003C7F79" w:rsidP="003C7F79">
            <w:pPr>
              <w:pStyle w:val="BodyText"/>
            </w:pPr>
            <w:r w:rsidRPr="003C7F79">
              <w:t>•</w:t>
            </w:r>
            <w:r w:rsidRPr="003C7F79">
              <w:tab/>
            </w:r>
            <w:r w:rsidRPr="003C7F79">
              <w:rPr>
                <w:rStyle w:val="SpecialBold"/>
              </w:rPr>
              <w:t>9 elective units</w:t>
            </w:r>
          </w:p>
          <w:p w:rsidR="00000000" w:rsidRPr="003C7F79" w:rsidP="003C7F79">
            <w:pPr>
              <w:pStyle w:val="BodyText"/>
            </w:pPr>
            <w:r w:rsidRPr="003C7F79">
              <w:t>Specialisation</w:t>
            </w:r>
          </w:p>
          <w:p w:rsidR="00000000" w:rsidRPr="003C7F79" w:rsidP="003C7F79">
            <w:pPr>
              <w:pStyle w:val="BodyText"/>
            </w:pPr>
            <w:r w:rsidRPr="003C7F79">
              <w:t xml:space="preserve">The candidate may </w:t>
            </w:r>
            <w:r w:rsidRPr="003C7F79">
              <w:t>complete either the general qualification or specialise in networks, source, hydrography, irrigation or trade waste by selecting elective units as specified in the table below.</w:t>
            </w:r>
          </w:p>
          <w:p w:rsidR="00000000" w:rsidRPr="003C7F79" w:rsidP="003C7F79">
            <w:pPr>
              <w:pStyle w:val="BodyText"/>
            </w:pPr>
            <w:bookmarkStart w:id="5" w:name="O_1071142"/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height:486.75pt;width:522.75pt">
                  <v:imagedata r:id="rId10" o:title=""/>
                </v:shape>
              </w:pict>
            </w:r>
            <w:bookmarkEnd w:id="5"/>
          </w:p>
          <w:p w:rsidR="00000000" w:rsidRPr="003C7F79" w:rsidP="003C7F79">
            <w:pPr>
              <w:pStyle w:val="BodyText"/>
            </w:pPr>
            <w:r w:rsidRPr="003C7F79">
              <w:t>All elective units selected from outside this qualification must reflect the occupational and learning outcomes of this AQF qualification level. Seek further advice on selecting imported units of com</w:t>
            </w:r>
            <w:r w:rsidRPr="003C7F79">
              <w:t>petency in the NWP Implementation Guide.</w:t>
            </w:r>
          </w:p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Elective units selected must not duplicate content already covered by other units in this qualification.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Core units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Ensure compliance with water industry standards, guidelines and legislation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NWPGEN005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 xml:space="preserve">Coordinate and monitor the application of environmental plans and procedures 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Group A: Work health safety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BSBWHS401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Implement and monitor WHS policies, procedures and programs to meet legislative requirements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BSBWHS412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Assist with workplace c</w:t>
            </w:r>
            <w:r w:rsidRPr="003C7F79">
              <w:t>ompliance with WHS laws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BSBWHS413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Contribute to implementation and maintenance of WHS consultation and participation processes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BSBWHS414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Contribute to WHS risk management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Group B: Sampling and testing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AHCLPW306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Undertake sampling and testing of water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NWPCAD001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Respond to blue-green algae outbreaks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Sampling and testing trade wastewater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NWPGEN022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Perform laboratory testing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Group C: Networks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BSBCUS401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implementation of customer service strategies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BSBWOR404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Develop work priorities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NWPGEN015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Develop an operation plan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NWPHYD014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Measure and process medium and high flows using a range of methods and equipment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NWPIRR033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the operation of irrigation delivery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NWPIRR035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the operation of drainage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NWPNET005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Optimise network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NWPNET017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Supervise and report on conduit inspections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NWPNET019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Prepare and restore worksite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NWPNET025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manage maintenance and repair of network a</w:t>
            </w:r>
            <w:r w:rsidRPr="003C7F79">
              <w:t>ssets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NWPNET033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water asset construction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Group D: Source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BSBMGT402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Implement operational plan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BSBSMB407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Manage a small team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NWPCAD014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 xml:space="preserve">Inspect and report river performance 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NWPSOU014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Develop and implement catchment operations plans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NWPSOU026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Implement dam safety plans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NWPSOU041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bulkwater system operations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NWPSOU053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groundwater system usage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Group E: Hydrography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AHCLPW306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Undertake sampling and testing of water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FSKNUM021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Apply an expanding range of arithmetical calculations for work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MSL924003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 xml:space="preserve">Process and interpret data 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NWPGEN022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Perform laboratory testing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NWPHYD011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Measure and process low and medium flows using area velocity methods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NWPHYD013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Operate, maintain and decommission monitoring sites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NWPHYD014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Measure and process medium and high flows using a range of methods and equipment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NWPHYD015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Undertake surveying o</w:t>
            </w:r>
            <w:r w:rsidRPr="003C7F79">
              <w:t>f monitoring sites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NWPSOU053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groundwater system usage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Group F: Irrigation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NWPCAD014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Inspect and report river performance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NWPGEN027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Monitor and operate pump stations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NWPIRR033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the operation of irrigation delivery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NWPIRR034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surface water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NWPIRR035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the operation of drainage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 xml:space="preserve">NWPNET033 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water asset construction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NWPSOU041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and monitor bulkwater system operations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Group G: Trade waste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NWPCAD003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Identify and confirm blue-green algae outbreaks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NWPGEN028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Investigate and report on breaches of water industry legislation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NWPTRD001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Evaluate, implement and mo</w:t>
            </w:r>
            <w:r w:rsidRPr="003C7F79">
              <w:t>nitor standard low risk trade waste discharge approvals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NWPTRD012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 xml:space="preserve">Investigate, rectify and report on trade waste incidents 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NWPTRD023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Coordinate, implement and report trade waste monitoring procedures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NWPTRD024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Establish connections of water and wastewater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rPr>
                <w:rStyle w:val="SpecialBold"/>
              </w:rPr>
              <w:t>General elective units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AHCBUS515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Prepare estimates, quotes and tenders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BSBCUS401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Coordinate implementation of customer service strategies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BSBLDR403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Lead team effectiveness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BSBMGT402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Implement operational plan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BSBSMB407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Manage a small team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BSBWOR404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Develop work priorities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BSBWRT401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Write complex documents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NWPGEN010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Contribute to continuous improvement of quality systems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NWPGEN025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Apply principles of chemistry to water systems and processes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NWPTRT051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Assess and improve treatment for pathogen removal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RIIWHS202D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Enter and work in confined spaces</w:t>
            </w:r>
          </w:p>
        </w:tc>
      </w:tr>
      <w:tr w:rsidTr="00AA0D1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4"/>
        </w:trPr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F79">
            <w:pPr>
              <w:pStyle w:val="BodyText"/>
              <w:rPr>
                <w:lang w:val="en-NZ"/>
              </w:rPr>
            </w:pPr>
            <w:r w:rsidRPr="003C7F79">
              <w:t>TAEDEL301</w:t>
            </w:r>
          </w:p>
        </w:tc>
        <w:tc>
          <w:tcPr>
            <w:tcW w:w="76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79" w:rsidP="003C7F79">
            <w:pPr>
              <w:pStyle w:val="BodyText"/>
            </w:pPr>
            <w:r w:rsidRPr="003C7F79">
              <w:t>Provide work skill instruction</w:t>
            </w:r>
          </w:p>
        </w:tc>
      </w:tr>
    </w:tbl>
    <w:p w:rsidR="00AA0D1C" w:rsidP="003C7F79">
      <w:pPr>
        <w:pStyle w:val="NoPaddingFontSize1"/>
      </w:pPr>
    </w:p>
    <w:p w:rsidR="00AA0D1C" w:rsidP="003C7F79">
      <w:pPr>
        <w:pStyle w:val="NoPaddingFontSize1"/>
      </w:pPr>
    </w:p>
    <w:p w:rsidR="00000000" w:rsidRPr="003C7F79" w:rsidP="003C7F79">
      <w:pPr>
        <w:pStyle w:val="Heading1"/>
      </w:pPr>
      <w:bookmarkStart w:id="6" w:name="O_1068192"/>
      <w:bookmarkEnd w:id="6"/>
      <w:r w:rsidRPr="003C7F79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7F7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F79" w:rsidP="003C7F79">
            <w:pPr>
              <w:pStyle w:val="BodyText"/>
            </w:pPr>
            <w:r w:rsidRPr="003C7F79">
              <w:t>No equivalent qualification.</w:t>
            </w:r>
          </w:p>
        </w:tc>
      </w:tr>
    </w:tbl>
    <w:p w:rsidR="00000000" w:rsidRPr="003C7F79" w:rsidP="003C7F79">
      <w:pPr>
        <w:pStyle w:val="NoPaddingFontSize1"/>
      </w:pPr>
    </w:p>
    <w:p w:rsidR="00000000" w:rsidRPr="003C7F79" w:rsidP="003C7F79">
      <w:pPr>
        <w:pStyle w:val="AllowPageBreak"/>
      </w:pPr>
    </w:p>
    <w:p w:rsidR="00000000" w:rsidRPr="003C7F79" w:rsidP="003C7F79">
      <w:pPr>
        <w:pStyle w:val="Heading1"/>
      </w:pPr>
      <w:bookmarkStart w:id="7" w:name="O_1068196"/>
      <w:bookmarkEnd w:id="7"/>
      <w:r w:rsidRPr="003C7F79">
        <w:t>Links</w:t>
      </w:r>
    </w:p>
    <w:p w:rsidR="00000000" w:rsidRPr="003C7F79" w:rsidP="00AA0D1C">
      <w:pPr>
        <w:pStyle w:val="BodyText"/>
      </w:pPr>
      <w:r w:rsidRPr="003C7F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B6392D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C7F79" w:rsidP="003C7F79"/>
    <w:sectPr w:rsidSect="003C7F79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 w:rsidRPr="00AA0D1C" w:rsidP="00AA0D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1C" w:rsidP="003C7F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A0D1C" w:rsidP="003C7F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A0D1C" w:rsidP="003C7F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F79" w:rsidRPr="00AA0D1C" w:rsidP="00AA0D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F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D1C" w:rsidRPr="002D2AF8" w:rsidP="003C7F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NWP40515 Certificate IV in Water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AA0D1C" w:rsidP="003C7F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88A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FC5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F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F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F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F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F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F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F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F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F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F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F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F79"/>
  </w:style>
  <w:style w:type="character" w:customStyle="1" w:styleId="Heading1Char">
    <w:name w:val="Heading 1 Char"/>
    <w:basedOn w:val="DefaultParagraphFont"/>
    <w:link w:val="Heading1"/>
    <w:rsid w:val="003C7F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F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F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F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F79"/>
    <w:rPr>
      <w:b/>
      <w:spacing w:val="0"/>
    </w:rPr>
  </w:style>
  <w:style w:type="paragraph" w:customStyle="1" w:styleId="SuperHeading">
    <w:name w:val="SuperHeading"/>
    <w:basedOn w:val="Normal"/>
    <w:rsid w:val="003C7F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F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7F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F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F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F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F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F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F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F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F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F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F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F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F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F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F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F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F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F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F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F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F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F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F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F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F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F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F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F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F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F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F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F79"/>
    <w:rPr>
      <w:i/>
    </w:rPr>
  </w:style>
  <w:style w:type="paragraph" w:styleId="Caption">
    <w:name w:val="caption"/>
    <w:basedOn w:val="BodyText"/>
    <w:next w:val="Normal"/>
    <w:qFormat/>
    <w:rsid w:val="003C7F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F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F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F79"/>
  </w:style>
  <w:style w:type="paragraph" w:styleId="TableofFigures">
    <w:name w:val="table of figures"/>
    <w:basedOn w:val="Normal"/>
    <w:next w:val="Normal"/>
    <w:semiHidden/>
    <w:rsid w:val="003C7F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F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7F79"/>
    <w:rPr>
      <w:rFonts w:ascii="Wingdings" w:hAnsi="Wingdings"/>
    </w:rPr>
  </w:style>
  <w:style w:type="paragraph" w:customStyle="1" w:styleId="TableHeading">
    <w:name w:val="Table Heading"/>
    <w:basedOn w:val="HeadingBase"/>
    <w:rsid w:val="003C7F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F79"/>
    <w:rPr>
      <w:color w:val="0033CC"/>
      <w:u w:val="none"/>
    </w:rPr>
  </w:style>
  <w:style w:type="paragraph" w:customStyle="1" w:styleId="BodyTextRight">
    <w:name w:val="Body Text Right"/>
    <w:basedOn w:val="BodyText"/>
    <w:rsid w:val="003C7F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F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F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F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F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F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F79"/>
    <w:rPr>
      <w:sz w:val="32"/>
    </w:rPr>
  </w:style>
  <w:style w:type="paragraph" w:customStyle="1" w:styleId="HeadingProcedure">
    <w:name w:val="Heading Procedure"/>
    <w:basedOn w:val="HeadingBase"/>
    <w:next w:val="Normal"/>
    <w:rsid w:val="003C7F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F79"/>
    <w:pPr>
      <w:spacing w:before="60" w:after="60"/>
    </w:pPr>
  </w:style>
  <w:style w:type="paragraph" w:styleId="ListContinue">
    <w:name w:val="List Continue"/>
    <w:basedOn w:val="List"/>
    <w:rsid w:val="003C7F79"/>
    <w:pPr>
      <w:ind w:firstLine="0"/>
    </w:pPr>
  </w:style>
  <w:style w:type="paragraph" w:customStyle="1" w:styleId="ListNote">
    <w:name w:val="List Note"/>
    <w:basedOn w:val="List"/>
    <w:rsid w:val="003C7F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F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F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F79"/>
    <w:rPr>
      <w:rFonts w:ascii="Courier New" w:hAnsi="Courier New"/>
    </w:rPr>
  </w:style>
  <w:style w:type="paragraph" w:customStyle="1" w:styleId="NoteBullet">
    <w:name w:val="Note Bullet"/>
    <w:basedOn w:val="Note"/>
    <w:rsid w:val="003C7F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F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F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F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F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7F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F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F79"/>
    <w:rPr>
      <w:b/>
      <w:smallCaps/>
    </w:rPr>
  </w:style>
  <w:style w:type="paragraph" w:customStyle="1" w:styleId="TableListNumber">
    <w:name w:val="Table List Number"/>
    <w:basedOn w:val="ListNumber"/>
    <w:rsid w:val="003C7F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F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F79"/>
    <w:pPr>
      <w:numPr>
        <w:numId w:val="8"/>
      </w:numPr>
    </w:pPr>
  </w:style>
  <w:style w:type="paragraph" w:customStyle="1" w:styleId="ListAlpha2">
    <w:name w:val="List Alpha 2"/>
    <w:basedOn w:val="List2"/>
    <w:rsid w:val="003C7F79"/>
    <w:pPr>
      <w:numPr>
        <w:numId w:val="7"/>
      </w:numPr>
    </w:pPr>
  </w:style>
  <w:style w:type="paragraph" w:styleId="List2">
    <w:name w:val="List 2"/>
    <w:basedOn w:val="BodyText"/>
    <w:rsid w:val="003C7F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F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F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F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F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F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7F79"/>
    <w:pPr>
      <w:numPr>
        <w:numId w:val="3"/>
      </w:numPr>
    </w:pPr>
  </w:style>
  <w:style w:type="paragraph" w:styleId="ListContinue2">
    <w:name w:val="List Continue 2"/>
    <w:basedOn w:val="List2"/>
    <w:rsid w:val="003C7F79"/>
    <w:pPr>
      <w:ind w:firstLine="0"/>
    </w:pPr>
  </w:style>
  <w:style w:type="paragraph" w:styleId="ListContinue3">
    <w:name w:val="List Continue 3"/>
    <w:basedOn w:val="List3"/>
    <w:rsid w:val="003C7F79"/>
    <w:pPr>
      <w:ind w:left="1021" w:firstLine="0"/>
    </w:pPr>
  </w:style>
  <w:style w:type="paragraph" w:styleId="ListContinue4">
    <w:name w:val="List Continue 4"/>
    <w:basedOn w:val="List4"/>
    <w:rsid w:val="003C7F79"/>
    <w:pPr>
      <w:ind w:firstLine="0"/>
    </w:pPr>
  </w:style>
  <w:style w:type="paragraph" w:styleId="ListContinue5">
    <w:name w:val="List Continue 5"/>
    <w:basedOn w:val="List5"/>
    <w:rsid w:val="003C7F79"/>
    <w:pPr>
      <w:ind w:firstLine="0"/>
    </w:pPr>
  </w:style>
  <w:style w:type="paragraph" w:styleId="ListNumber3">
    <w:name w:val="List Number 3"/>
    <w:basedOn w:val="List3"/>
    <w:rsid w:val="003C7F79"/>
    <w:pPr>
      <w:numPr>
        <w:numId w:val="4"/>
      </w:numPr>
    </w:pPr>
  </w:style>
  <w:style w:type="paragraph" w:styleId="ListNumber4">
    <w:name w:val="List Number 4"/>
    <w:basedOn w:val="List4"/>
    <w:rsid w:val="003C7F79"/>
    <w:pPr>
      <w:numPr>
        <w:numId w:val="5"/>
      </w:numPr>
    </w:pPr>
  </w:style>
  <w:style w:type="paragraph" w:styleId="ListNumber5">
    <w:name w:val="List Number 5"/>
    <w:basedOn w:val="List5"/>
    <w:rsid w:val="003C7F79"/>
    <w:pPr>
      <w:numPr>
        <w:numId w:val="6"/>
      </w:numPr>
    </w:pPr>
  </w:style>
  <w:style w:type="paragraph" w:styleId="BlockText">
    <w:name w:val="Block Text"/>
    <w:basedOn w:val="Normal"/>
    <w:rsid w:val="003C7F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F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F79"/>
    <w:rPr>
      <w:sz w:val="16"/>
      <w:vertAlign w:val="superscript"/>
    </w:rPr>
  </w:style>
  <w:style w:type="character" w:customStyle="1" w:styleId="Symbols">
    <w:name w:val="Symbols"/>
    <w:basedOn w:val="DefaultParagraphFont"/>
    <w:rsid w:val="003C7F79"/>
    <w:rPr>
      <w:rFonts w:ascii="Symbol" w:hAnsi="Symbol"/>
    </w:rPr>
  </w:style>
  <w:style w:type="character" w:customStyle="1" w:styleId="MenuOptions">
    <w:name w:val="Menu Options"/>
    <w:basedOn w:val="DefaultParagraphFont"/>
    <w:rsid w:val="003C7F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F79"/>
    <w:rPr>
      <w:b/>
    </w:rPr>
  </w:style>
  <w:style w:type="character" w:customStyle="1" w:styleId="Underlined">
    <w:name w:val="Underlined"/>
    <w:basedOn w:val="DefaultParagraphFont"/>
    <w:rsid w:val="003C7F79"/>
    <w:rPr>
      <w:u w:val="single"/>
    </w:rPr>
  </w:style>
  <w:style w:type="paragraph" w:customStyle="1" w:styleId="TableBodyTextRight">
    <w:name w:val="Table Body Text Right"/>
    <w:basedOn w:val="TableBodyText"/>
    <w:rsid w:val="003C7F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F79"/>
    <w:rPr>
      <w:sz w:val="18"/>
    </w:rPr>
  </w:style>
  <w:style w:type="paragraph" w:customStyle="1" w:styleId="BodySmallRight">
    <w:name w:val="Body Small Right"/>
    <w:basedOn w:val="BodyTextRight"/>
    <w:rsid w:val="003C7F79"/>
    <w:rPr>
      <w:sz w:val="18"/>
      <w:szCs w:val="18"/>
    </w:rPr>
  </w:style>
  <w:style w:type="paragraph" w:customStyle="1" w:styleId="MarginEdition">
    <w:name w:val="Margin Edition"/>
    <w:basedOn w:val="MarginNote"/>
    <w:rsid w:val="003C7F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F79"/>
    <w:rPr>
      <w:sz w:val="2"/>
      <w:szCs w:val="2"/>
    </w:rPr>
  </w:style>
  <w:style w:type="character" w:customStyle="1" w:styleId="Small">
    <w:name w:val="Small"/>
    <w:basedOn w:val="DefaultParagraphFont"/>
    <w:rsid w:val="003C7F79"/>
    <w:rPr>
      <w:sz w:val="16"/>
    </w:rPr>
  </w:style>
  <w:style w:type="paragraph" w:customStyle="1" w:styleId="WideTable">
    <w:name w:val="Wide Table"/>
    <w:basedOn w:val="Normal"/>
    <w:rsid w:val="003C7F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F79"/>
  </w:style>
  <w:style w:type="paragraph" w:styleId="Quote">
    <w:name w:val="Quote"/>
    <w:basedOn w:val="Heading1"/>
    <w:link w:val="QuoteChar"/>
    <w:qFormat/>
    <w:rsid w:val="003C7F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F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F79"/>
    <w:pPr>
      <w:pageBreakBefore/>
    </w:pPr>
  </w:style>
  <w:style w:type="paragraph" w:customStyle="1" w:styleId="Border">
    <w:name w:val="Border"/>
    <w:basedOn w:val="Normal"/>
    <w:qFormat/>
    <w:rsid w:val="003C7F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F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F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F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F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F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F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F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F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F79"/>
    <w:rPr>
      <w:u w:val="single"/>
    </w:rPr>
  </w:style>
  <w:style w:type="character" w:customStyle="1" w:styleId="BoldandItalics">
    <w:name w:val="Bold and Italics"/>
    <w:qFormat/>
    <w:rsid w:val="003C7F79"/>
    <w:rPr>
      <w:b/>
      <w:i/>
      <w:u w:val="none"/>
    </w:rPr>
  </w:style>
  <w:style w:type="paragraph" w:styleId="BalloonText">
    <w:name w:val="Balloon Text"/>
    <w:basedOn w:val="Normal"/>
    <w:link w:val="BalloonTextChar"/>
    <w:rsid w:val="003C7F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F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F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F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F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F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F79"/>
    <w:pPr>
      <w:spacing w:before="0" w:after="0"/>
    </w:pPr>
  </w:style>
  <w:style w:type="paragraph" w:customStyle="1" w:styleId="BodyTextBold">
    <w:name w:val="Body Text Bold"/>
    <w:basedOn w:val="BodyText"/>
    <w:qFormat/>
    <w:rsid w:val="003C7F79"/>
    <w:rPr>
      <w:b/>
    </w:rPr>
  </w:style>
  <w:style w:type="character" w:styleId="Hyperlink">
    <w:name w:val="Hyperlink"/>
    <w:basedOn w:val="DefaultParagraphFont"/>
    <w:uiPriority w:val="99"/>
    <w:unhideWhenUsed/>
    <w:rsid w:val="00AA0D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922</Words>
  <Characters>6086</Characters>
  <Application>Microsoft Office Word</Application>
  <DocSecurity>0</DocSecurity>
  <Lines>217</Lines>
  <Paragraphs>194</Paragraphs>
  <ScaleCrop>false</ScaleCrop>
  <Company>Author-it Software Corporation Ltd.</Company>
  <LinksUpToDate>false</LinksUpToDate>
  <CharactersWithSpaces>6814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NWP40515 Certificate IV in Water Industry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2020-02-04T18:02:34Z</dcterms:created>
  <dcterms:modified xsi:type="dcterms:W3CDTF">2020-01-20T22:25:00Z</dcterms:modified>
</cp:coreProperties>
</file>