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64F" w:rsidP="00AC064F">
      <w:pPr>
        <w:pStyle w:val="Title"/>
      </w:pPr>
      <w:r>
        <w:fldChar w:fldCharType="begin"/>
      </w:r>
      <w:r>
        <w:instrText xml:space="preserve"> TITLE   \* MERGEFORMAT </w:instrText>
      </w:r>
      <w:r>
        <w:fldChar w:fldCharType="separate"/>
      </w:r>
      <w:r>
        <w:t>MTMPSR601A Benchmark to manage/improve enterprise performance</w:t>
      </w:r>
      <w:r>
        <w:fldChar w:fldCharType="end"/>
      </w:r>
    </w:p>
    <w:p w:rsidR="00AC064F" w:rsidP="00AC064F">
      <w:pPr>
        <w:pStyle w:val="Version"/>
        <w:sectPr w:rsidSect="00B11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C02" w:rsidP="00B11C02">
      <w:pPr>
        <w:pStyle w:val="SuperHeading"/>
      </w:pPr>
      <w:r w:rsidRPr="00B11C02">
        <w:t>MTMPSR601A Benchmark to manage/improve enterprise performance</w:t>
      </w:r>
    </w:p>
    <w:p w:rsidR="00000000" w:rsidRPr="00B11C02" w:rsidP="00B11C02">
      <w:pPr>
        <w:pStyle w:val="Heading1"/>
      </w:pPr>
      <w:bookmarkStart w:id="1" w:name="O_272751"/>
      <w:bookmarkEnd w:id="1"/>
      <w:r w:rsidRPr="00B11C02">
        <w:t>Modification History</w:t>
      </w:r>
    </w:p>
    <w:p w:rsidR="00000000" w:rsidRPr="00B11C02" w:rsidP="00B11C02">
      <w:pPr>
        <w:pStyle w:val="BodyText"/>
      </w:pPr>
      <w:r w:rsidRPr="00B11C02">
        <w:t>Not Applicable</w:t>
      </w:r>
    </w:p>
    <w:p w:rsidR="00000000" w:rsidRPr="00B11C02" w:rsidP="00B11C02">
      <w:pPr>
        <w:pStyle w:val="AllowPageBreak"/>
      </w:pPr>
    </w:p>
    <w:p w:rsidR="00000000" w:rsidRPr="00B11C02" w:rsidP="00B11C02">
      <w:pPr>
        <w:pStyle w:val="Heading1"/>
      </w:pPr>
      <w:bookmarkStart w:id="2" w:name="O_215695"/>
      <w:bookmarkEnd w:id="2"/>
      <w:r w:rsidRPr="00B11C02">
        <w:t>Unit Descriptor</w:t>
      </w:r>
    </w:p>
    <w:tbl>
      <w:tblPr>
        <w:tblW w:w="0" w:type="auto"/>
        <w:tblLayout w:type="fixed"/>
        <w:tblCellMar>
          <w:left w:w="62" w:type="dxa"/>
          <w:right w:w="62" w:type="dxa"/>
        </w:tblCellMar>
        <w:tblLook w:val="0000"/>
      </w:tblPr>
      <w:tblGrid>
        <w:gridCol w:w="2667"/>
        <w:gridCol w:w="5855"/>
      </w:tblGrid>
      <w:tr w:rsidTr="00AC064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This unit covers the skills and knowledge required to conduct benchmarking exercises throug</w:t>
            </w:r>
            <w:r w:rsidRPr="00B11C02">
              <w:t>h the identification of appropriate benchmarks and to use them to focus enterprise operations and improve performance. In the meat industry benchmarking is a tool for informing, measuring and developing an enterprise's performance.</w:t>
            </w:r>
          </w:p>
        </w:tc>
      </w:tr>
    </w:tbl>
    <w:p w:rsidR="00AC064F" w:rsidP="00B11C02">
      <w:pPr>
        <w:pStyle w:val="BodyText"/>
      </w:pPr>
    </w:p>
    <w:p w:rsidR="00AC064F" w:rsidP="00B11C02">
      <w:pPr>
        <w:pStyle w:val="BodyText"/>
      </w:pPr>
    </w:p>
    <w:p w:rsidR="00000000" w:rsidRPr="00B11C02" w:rsidP="00B11C02">
      <w:pPr>
        <w:pStyle w:val="Heading1"/>
      </w:pPr>
      <w:bookmarkStart w:id="3" w:name="O_215699"/>
      <w:bookmarkEnd w:id="3"/>
      <w:r w:rsidRPr="00B11C02">
        <w:t>Application of the Unit</w:t>
      </w:r>
    </w:p>
    <w:tbl>
      <w:tblPr>
        <w:tblW w:w="0" w:type="auto"/>
        <w:tblLayout w:type="fixed"/>
        <w:tblCellMar>
          <w:left w:w="62" w:type="dxa"/>
          <w:right w:w="62" w:type="dxa"/>
        </w:tblCellMar>
        <w:tblLook w:val="0000"/>
      </w:tblPr>
      <w:tblGrid>
        <w:gridCol w:w="2749"/>
        <w:gridCol w:w="5773"/>
      </w:tblGrid>
      <w:tr w:rsidTr="00AC064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 xml:space="preserve">This unit is suitable for all managers working in a meat industry context and supports them in their responsibility for measuring, evaluating and improving enterprise performance. This unit has applicability </w:t>
            </w:r>
            <w:r w:rsidRPr="00B11C02">
              <w:t>for engineers, refrigeration/chiller managers, production and operations managers, Occupational Health and Safety (OH&amp;S), environment, quality, Human Resources (HR), finance, livestock, logistics managers.</w:t>
            </w:r>
          </w:p>
          <w:p w:rsidR="00000000" w:rsidRPr="00B11C02" w:rsidP="00B11C02">
            <w:pPr>
              <w:pStyle w:val="BodyText"/>
            </w:pPr>
          </w:p>
          <w:p w:rsidR="00000000" w:rsidRPr="00B11C02" w:rsidP="00B11C02">
            <w:pPr>
              <w:pStyle w:val="BodyText"/>
            </w:pPr>
            <w:r w:rsidRPr="00B11C02">
              <w:t>At this level individuals exercise considerable r</w:t>
            </w:r>
            <w:r w:rsidRPr="00B11C02">
              <w:t xml:space="preserve">esponsibility and accountability within enterprise structures and are required to make primary contributions to the values, goals and operations of the enterprise. They will typically have responsibility for the establishment and review of systems for the </w:t>
            </w:r>
            <w:r w:rsidRPr="00B11C02">
              <w:t>site or department. They may work with the assistance of external experts to develop plans and strategies.</w:t>
            </w:r>
          </w:p>
        </w:tc>
      </w:tr>
    </w:tbl>
    <w:p w:rsidR="00AC064F" w:rsidP="00B11C02">
      <w:pPr>
        <w:pStyle w:val="BodyText"/>
      </w:pPr>
    </w:p>
    <w:p w:rsidR="00AC064F" w:rsidP="00B11C02">
      <w:pPr>
        <w:pStyle w:val="BodyText"/>
      </w:pPr>
    </w:p>
    <w:p w:rsidR="00000000" w:rsidRPr="00B11C02" w:rsidP="00B11C02">
      <w:pPr>
        <w:pStyle w:val="Heading1"/>
      </w:pPr>
      <w:bookmarkStart w:id="4" w:name="O_281011"/>
      <w:bookmarkEnd w:id="4"/>
      <w:r w:rsidRPr="00B11C02">
        <w:t>Licensing/Regulatory Information</w:t>
      </w:r>
    </w:p>
    <w:p w:rsidR="00000000" w:rsidRPr="00B11C02" w:rsidP="00B11C02">
      <w:pPr>
        <w:pStyle w:val="BodyText"/>
      </w:pPr>
      <w:r w:rsidRPr="00B11C02">
        <w:t>Not Applicable</w:t>
      </w:r>
    </w:p>
    <w:p w:rsidR="00000000" w:rsidRPr="00B11C02" w:rsidP="00B11C02">
      <w:pPr>
        <w:pStyle w:val="AllowPageBreak"/>
      </w:pPr>
    </w:p>
    <w:p w:rsidR="00000000" w:rsidRPr="00B11C02" w:rsidP="00B11C02">
      <w:pPr>
        <w:pStyle w:val="Heading1"/>
      </w:pPr>
      <w:bookmarkStart w:id="5" w:name="O_215697"/>
      <w:bookmarkEnd w:id="5"/>
      <w:r w:rsidRPr="00B11C02">
        <w:t>Pre-Requisites</w:t>
      </w:r>
    </w:p>
    <w:tbl>
      <w:tblPr>
        <w:tblW w:w="0" w:type="auto"/>
        <w:tblLayout w:type="fixed"/>
        <w:tblCellMar>
          <w:left w:w="62" w:type="dxa"/>
          <w:right w:w="62" w:type="dxa"/>
        </w:tblCellMar>
        <w:tblLook w:val="0000"/>
      </w:tblPr>
      <w:tblGrid>
        <w:gridCol w:w="2775"/>
        <w:gridCol w:w="1295"/>
        <w:gridCol w:w="4452"/>
      </w:tblGrid>
      <w:tr w:rsidTr="00AC06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p>
        </w:tc>
      </w:tr>
      <w:tr w:rsidTr="00AC06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p>
        </w:tc>
      </w:tr>
      <w:tr w:rsidTr="00AC06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p>
        </w:tc>
      </w:tr>
    </w:tbl>
    <w:p w:rsidR="00AC064F" w:rsidP="00B11C02">
      <w:pPr>
        <w:pStyle w:val="BodyText"/>
      </w:pPr>
    </w:p>
    <w:p w:rsidR="00AC064F" w:rsidP="00B11C02">
      <w:pPr>
        <w:pStyle w:val="BodyText"/>
      </w:pPr>
    </w:p>
    <w:p w:rsidR="00000000" w:rsidRPr="00B11C02" w:rsidP="00B11C02">
      <w:pPr>
        <w:pStyle w:val="Heading1"/>
      </w:pPr>
      <w:bookmarkStart w:id="6" w:name="O_215696"/>
      <w:bookmarkEnd w:id="6"/>
      <w:r w:rsidRPr="00B11C02">
        <w:t>Employability Skills Information</w:t>
      </w:r>
    </w:p>
    <w:tbl>
      <w:tblPr>
        <w:tblW w:w="0" w:type="auto"/>
        <w:tblLayout w:type="fixed"/>
        <w:tblCellMar>
          <w:left w:w="62" w:type="dxa"/>
          <w:right w:w="62" w:type="dxa"/>
        </w:tblCellMar>
        <w:tblLook w:val="0000"/>
      </w:tblPr>
      <w:tblGrid>
        <w:gridCol w:w="2802"/>
        <w:gridCol w:w="5720"/>
      </w:tblGrid>
      <w:tr w:rsidTr="00AC06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This unit contains employability skills.</w:t>
            </w:r>
          </w:p>
        </w:tc>
      </w:tr>
    </w:tbl>
    <w:p w:rsidR="00AC064F" w:rsidP="00B11C02">
      <w:pPr>
        <w:pStyle w:val="BodyText"/>
      </w:pPr>
    </w:p>
    <w:p w:rsidR="00AC064F" w:rsidP="00B11C02">
      <w:pPr>
        <w:pStyle w:val="BodyText"/>
      </w:pPr>
    </w:p>
    <w:p w:rsidR="00000000" w:rsidRPr="00B11C02" w:rsidP="00B11C02">
      <w:pPr>
        <w:pStyle w:val="Heading1"/>
      </w:pPr>
      <w:bookmarkStart w:id="7" w:name="O_290797"/>
      <w:bookmarkEnd w:id="7"/>
      <w:r w:rsidRPr="00B11C02">
        <w:t>Elements and Performance Criteria Pre-Content</w:t>
      </w:r>
    </w:p>
    <w:tbl>
      <w:tblPr>
        <w:tblW w:w="0" w:type="auto"/>
        <w:tblLayout w:type="fixed"/>
        <w:tblCellMar>
          <w:left w:w="62" w:type="dxa"/>
          <w:right w:w="62" w:type="dxa"/>
        </w:tblCellMar>
        <w:tblLook w:val="0000"/>
      </w:tblPr>
      <w:tblGrid>
        <w:gridCol w:w="2578"/>
        <w:gridCol w:w="5944"/>
      </w:tblGrid>
      <w:tr w:rsidTr="00AC064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Performance criteria describe</w:t>
            </w:r>
            <w:r w:rsidRPr="00B11C02">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11C02">
              <w:t>the evidence guide.</w:t>
            </w:r>
          </w:p>
        </w:tc>
      </w:tr>
    </w:tbl>
    <w:p w:rsidR="00000000" w:rsidRPr="00B11C02" w:rsidP="00B11C02">
      <w:pPr>
        <w:pStyle w:val="BodyText"/>
      </w:pPr>
    </w:p>
    <w:p w:rsidR="00000000" w:rsidRPr="00B11C02" w:rsidP="00B11C02">
      <w:pPr>
        <w:pStyle w:val="AllowPageBreak"/>
      </w:pPr>
    </w:p>
    <w:p w:rsidR="00000000" w:rsidRPr="00B11C02" w:rsidP="00B11C02">
      <w:pPr>
        <w:pStyle w:val="Heading1"/>
      </w:pPr>
      <w:bookmarkStart w:id="8" w:name="O_237464"/>
      <w:bookmarkEnd w:id="8"/>
      <w:r w:rsidRPr="00B11C02">
        <w:t>Elements and Performance Criteria</w:t>
      </w:r>
    </w:p>
    <w:tbl>
      <w:tblPr>
        <w:tblW w:w="0" w:type="auto"/>
        <w:tblLayout w:type="fixed"/>
        <w:tblCellMar>
          <w:left w:w="62" w:type="dxa"/>
          <w:right w:w="62" w:type="dxa"/>
        </w:tblCellMar>
        <w:tblLook w:val="0000"/>
      </w:tblPr>
      <w:tblGrid>
        <w:gridCol w:w="2578"/>
        <w:gridCol w:w="5944"/>
      </w:tblGrid>
      <w:tr w:rsidTr="00AC064F">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PERFORMANCE CRITERIA</w:t>
            </w:r>
          </w:p>
        </w:tc>
      </w:tr>
      <w:tr w:rsidTr="00AC064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List"/>
              <w:rPr>
                <w:lang w:val="en-NZ"/>
              </w:rPr>
            </w:pPr>
            <w:r w:rsidRPr="00B11C02">
              <w:t>1.</w:t>
            </w:r>
            <w:r w:rsidRPr="00B11C02">
              <w:tab/>
              <w:t xml:space="preserve">Identify the need for </w:t>
            </w:r>
            <w:r w:rsidRPr="00B11C02">
              <w:rPr>
                <w:rStyle w:val="BoldandItalics"/>
              </w:rPr>
              <w:t>benchmarking</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2"/>
            </w:pPr>
            <w:r w:rsidRPr="00B11C02">
              <w:t>1.1.</w:t>
            </w:r>
            <w:r w:rsidRPr="00B11C02">
              <w:tab/>
              <w:t>Benchmarking is identified in enterprise planning processes as a tool for achieving strategic goals.</w:t>
            </w:r>
          </w:p>
          <w:p w:rsidR="00000000" w:rsidRPr="00B11C02" w:rsidP="00B11C02">
            <w:pPr>
              <w:pStyle w:val="List2"/>
            </w:pPr>
            <w:r w:rsidRPr="00B11C02">
              <w:t>1.2.</w:t>
            </w:r>
            <w:r w:rsidRPr="00B11C02">
              <w:tab/>
            </w:r>
            <w:r w:rsidRPr="00B11C02">
              <w:t>Customer requirements, perceptions and satisfaction data are analysed to identify the need for improvement.</w:t>
            </w:r>
          </w:p>
          <w:p w:rsidR="00000000" w:rsidRPr="00B11C02" w:rsidP="00B11C02">
            <w:pPr>
              <w:pStyle w:val="List2"/>
            </w:pPr>
            <w:r w:rsidRPr="00B11C02">
              <w:t>1.3.</w:t>
            </w:r>
            <w:r w:rsidRPr="00B11C02">
              <w:tab/>
              <w:t xml:space="preserve">Competitor's products or processes are analysed to identify the need for improvement. </w:t>
            </w:r>
          </w:p>
          <w:p w:rsidR="00000000" w:rsidRPr="00B11C02" w:rsidP="00B11C02">
            <w:pPr>
              <w:pStyle w:val="List2"/>
            </w:pPr>
            <w:r w:rsidRPr="00B11C02">
              <w:t>1.4.</w:t>
            </w:r>
            <w:r w:rsidRPr="00B11C02">
              <w:tab/>
              <w:t>Company processes are analysed to determine whether</w:t>
            </w:r>
            <w:r w:rsidRPr="00B11C02">
              <w:t xml:space="preserve"> potential </w:t>
            </w:r>
            <w:r w:rsidRPr="00B11C02">
              <w:rPr>
                <w:rStyle w:val="BoldandItalics"/>
              </w:rPr>
              <w:t>improvements to efficiency</w:t>
            </w:r>
            <w:r w:rsidRPr="00B11C02">
              <w:t xml:space="preserve"> might be possible.</w:t>
            </w:r>
          </w:p>
          <w:p w:rsidR="00000000" w:rsidP="00B11C02">
            <w:pPr>
              <w:pStyle w:val="List2"/>
              <w:rPr>
                <w:lang w:val="en-NZ"/>
              </w:rPr>
            </w:pPr>
            <w:r w:rsidRPr="00B11C02">
              <w:t>1.5.</w:t>
            </w:r>
            <w:r w:rsidRPr="00B11C02">
              <w:tab/>
            </w:r>
            <w:r w:rsidRPr="00B11C02">
              <w:rPr>
                <w:rStyle w:val="BoldandItalics"/>
              </w:rPr>
              <w:t>Regulatory requirements</w:t>
            </w:r>
            <w:r w:rsidRPr="00B11C02">
              <w:t xml:space="preserve"> are analysed to identify the need for improvement.</w:t>
            </w:r>
          </w:p>
        </w:tc>
      </w:tr>
      <w:tr w:rsidTr="00AC064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List"/>
              <w:rPr>
                <w:lang w:val="en-NZ"/>
              </w:rPr>
            </w:pPr>
            <w:r w:rsidRPr="00B11C02">
              <w:t>2.</w:t>
            </w:r>
            <w:r w:rsidRPr="00B11C02">
              <w:tab/>
              <w:t>Prepare for benchmarking</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2"/>
            </w:pPr>
            <w:r w:rsidRPr="00B11C02">
              <w:t>2.1.</w:t>
            </w:r>
            <w:r w:rsidRPr="00B11C02">
              <w:tab/>
              <w:t>Scope and parameters of the benchmarking exercise are determined according to enterpr</w:t>
            </w:r>
            <w:r w:rsidRPr="00B11C02">
              <w:t>ise priorities and plans.</w:t>
            </w:r>
          </w:p>
          <w:p w:rsidR="00000000" w:rsidRPr="00B11C02" w:rsidP="00B11C02">
            <w:pPr>
              <w:pStyle w:val="List2"/>
            </w:pPr>
            <w:r w:rsidRPr="00B11C02">
              <w:t>2.2.</w:t>
            </w:r>
            <w:r w:rsidRPr="00B11C02">
              <w:tab/>
              <w:t>Benchmarking resource requirements are estimated and included in budgets and operational plans.</w:t>
            </w:r>
          </w:p>
          <w:p w:rsidR="00000000" w:rsidRPr="00B11C02" w:rsidP="00B11C02">
            <w:pPr>
              <w:pStyle w:val="List2"/>
            </w:pPr>
            <w:r w:rsidRPr="00B11C02">
              <w:t>2.3.</w:t>
            </w:r>
            <w:r w:rsidRPr="00B11C02">
              <w:tab/>
            </w:r>
            <w:r w:rsidRPr="00B11C02">
              <w:rPr>
                <w:rStyle w:val="BoldandItalics"/>
              </w:rPr>
              <w:t>Benchmarking strategy</w:t>
            </w:r>
            <w:r w:rsidRPr="00B11C02">
              <w:t xml:space="preserve"> is planned around realistic time frames and enterprise planning cycles.</w:t>
            </w:r>
          </w:p>
          <w:p w:rsidR="00000000" w:rsidRPr="00B11C02" w:rsidP="00B11C02">
            <w:pPr>
              <w:pStyle w:val="List2"/>
            </w:pPr>
            <w:r w:rsidRPr="00B11C02">
              <w:t>2.4.</w:t>
            </w:r>
            <w:r w:rsidRPr="00B11C02">
              <w:tab/>
              <w:t xml:space="preserve"> </w:t>
            </w:r>
            <w:r w:rsidRPr="00B11C02">
              <w:rPr>
                <w:rStyle w:val="BoldandItalics"/>
              </w:rPr>
              <w:t>Communication</w:t>
            </w:r>
            <w:r w:rsidRPr="00B11C02">
              <w:t xml:space="preserve"> and </w:t>
            </w:r>
            <w:r w:rsidRPr="00B11C02">
              <w:rPr>
                <w:rStyle w:val="BoldandItalics"/>
              </w:rPr>
              <w:t>mathematical requirements</w:t>
            </w:r>
            <w:r w:rsidRPr="00B11C02">
              <w:t xml:space="preserve"> are identified and planned. </w:t>
            </w:r>
          </w:p>
          <w:p w:rsidR="00000000" w:rsidRPr="00B11C02" w:rsidP="00B11C02">
            <w:pPr>
              <w:pStyle w:val="List2"/>
            </w:pPr>
            <w:r w:rsidRPr="00B11C02">
              <w:t>2.5.</w:t>
            </w:r>
            <w:r w:rsidRPr="00B11C02">
              <w:tab/>
              <w:t xml:space="preserve">Goals of benchmarking are developed in consultation with </w:t>
            </w:r>
            <w:r w:rsidRPr="00B11C02">
              <w:rPr>
                <w:rStyle w:val="BoldandItalics"/>
              </w:rPr>
              <w:t>stakeholders</w:t>
            </w:r>
            <w:r w:rsidRPr="00B11C02">
              <w:t>.</w:t>
            </w:r>
          </w:p>
          <w:p w:rsidR="00000000" w:rsidRPr="00B11C02" w:rsidP="00B11C02">
            <w:pPr>
              <w:pStyle w:val="List2"/>
            </w:pPr>
            <w:r w:rsidRPr="00B11C02">
              <w:t>2.6.</w:t>
            </w:r>
            <w:r w:rsidRPr="00B11C02">
              <w:tab/>
            </w:r>
            <w:r w:rsidRPr="00B11C02">
              <w:rPr>
                <w:rStyle w:val="BoldandItalics"/>
              </w:rPr>
              <w:t>Benchmarking teams</w:t>
            </w:r>
            <w:r w:rsidRPr="00B11C02">
              <w:t xml:space="preserve"> are selected according to agreed criteria.</w:t>
            </w:r>
          </w:p>
          <w:p w:rsidR="00000000" w:rsidRPr="00B11C02" w:rsidP="00B11C02">
            <w:pPr>
              <w:pStyle w:val="List2"/>
            </w:pPr>
            <w:r w:rsidRPr="00B11C02">
              <w:t>2.7.</w:t>
            </w:r>
            <w:r w:rsidRPr="00B11C02">
              <w:tab/>
              <w:t>Team roles and responsibilities are confirmed and sup</w:t>
            </w:r>
            <w:r w:rsidRPr="00B11C02">
              <w:t>ported with training.</w:t>
            </w:r>
          </w:p>
          <w:p w:rsidR="00000000" w:rsidRPr="00B11C02" w:rsidP="00B11C02">
            <w:pPr>
              <w:pStyle w:val="List2"/>
            </w:pPr>
            <w:r w:rsidRPr="00B11C02">
              <w:t>2.8.</w:t>
            </w:r>
            <w:r w:rsidRPr="00B11C02">
              <w:tab/>
              <w:t xml:space="preserve">Benchmarking activities are scheduled and documented following consultation with stakeholders. </w:t>
            </w:r>
          </w:p>
          <w:p w:rsidR="00000000" w:rsidRPr="00B11C02" w:rsidP="00B11C02">
            <w:pPr>
              <w:pStyle w:val="List2"/>
            </w:pPr>
            <w:r w:rsidRPr="00B11C02">
              <w:t>2.9.</w:t>
            </w:r>
            <w:r w:rsidRPr="00B11C02">
              <w:tab/>
              <w:t xml:space="preserve">Criteria are established for internal and external benchmarking and agreed upon by benchmarking team. </w:t>
            </w:r>
          </w:p>
          <w:p w:rsidR="00000000" w:rsidRPr="00B11C02" w:rsidP="00B11C02">
            <w:pPr>
              <w:pStyle w:val="List2"/>
            </w:pPr>
            <w:r w:rsidRPr="00B11C02">
              <w:t>2.10.</w:t>
            </w:r>
            <w:r w:rsidRPr="00B11C02">
              <w:tab/>
              <w:t>Internal and/or ext</w:t>
            </w:r>
            <w:r w:rsidRPr="00B11C02">
              <w:t xml:space="preserve">ernal </w:t>
            </w:r>
            <w:r w:rsidRPr="00B11C02">
              <w:rPr>
                <w:rStyle w:val="BoldandItalics"/>
              </w:rPr>
              <w:t>benchmarking partners</w:t>
            </w:r>
            <w:r w:rsidRPr="00B11C02">
              <w:t xml:space="preserve"> or sources are identified, according to the scope, parameters and goals of the benchmarking exercise.</w:t>
            </w:r>
          </w:p>
          <w:p w:rsidR="00000000" w:rsidP="00B11C02">
            <w:pPr>
              <w:pStyle w:val="List2"/>
              <w:rPr>
                <w:lang w:val="en-NZ"/>
              </w:rPr>
            </w:pPr>
            <w:r w:rsidRPr="00B11C02">
              <w:t>2.11.</w:t>
            </w:r>
            <w:r w:rsidRPr="00B11C02">
              <w:tab/>
              <w:t>Cooperative and open relationships are built with benchmark partners.</w:t>
            </w:r>
          </w:p>
        </w:tc>
      </w:tr>
      <w:tr w:rsidTr="00AC064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List"/>
              <w:rPr>
                <w:lang w:val="en-NZ"/>
              </w:rPr>
            </w:pPr>
            <w:r w:rsidRPr="00B11C02">
              <w:t>3.</w:t>
            </w:r>
            <w:r w:rsidRPr="00B11C02">
              <w:tab/>
              <w:t xml:space="preserve">Undertake benchmarking activity </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2"/>
            </w:pPr>
            <w:r w:rsidRPr="00B11C02">
              <w:t>3.1.</w:t>
            </w:r>
            <w:r w:rsidRPr="00B11C02">
              <w:tab/>
              <w:t>Logistic</w:t>
            </w:r>
            <w:r w:rsidRPr="00B11C02">
              <w:t>al requirements and impacts of the benchmarking exercise are identified and negotiated with stakeholders.</w:t>
            </w:r>
          </w:p>
          <w:p w:rsidR="00000000" w:rsidRPr="00B11C02" w:rsidP="00B11C02">
            <w:pPr>
              <w:pStyle w:val="List2"/>
            </w:pPr>
            <w:r w:rsidRPr="00B11C02">
              <w:t>3.2.</w:t>
            </w:r>
            <w:r w:rsidRPr="00B11C02">
              <w:tab/>
              <w:t>Statistical analysis frameworks and measurement frameworks are developed.</w:t>
            </w:r>
          </w:p>
          <w:p w:rsidR="00000000" w:rsidRPr="00B11C02" w:rsidP="00B11C02">
            <w:pPr>
              <w:pStyle w:val="List2"/>
            </w:pPr>
            <w:r w:rsidRPr="00B11C02">
              <w:t>3.3.</w:t>
            </w:r>
            <w:r w:rsidRPr="00B11C02">
              <w:tab/>
              <w:t>Problem-solving processes are developed and agreed.</w:t>
            </w:r>
          </w:p>
          <w:p w:rsidR="00000000" w:rsidRPr="00B11C02" w:rsidP="00B11C02">
            <w:pPr>
              <w:pStyle w:val="List2"/>
            </w:pPr>
            <w:r w:rsidRPr="00B11C02">
              <w:t>3.4.</w:t>
            </w:r>
            <w:r w:rsidRPr="00B11C02">
              <w:tab/>
              <w:t>Own enter</w:t>
            </w:r>
            <w:r w:rsidRPr="00B11C02">
              <w:t>prise or department functions, processes and operations are analysed and documented according to agreed criteria.</w:t>
            </w:r>
          </w:p>
          <w:p w:rsidR="00000000" w:rsidRPr="00B11C02" w:rsidP="00B11C02">
            <w:pPr>
              <w:pStyle w:val="List2"/>
            </w:pPr>
            <w:r w:rsidRPr="00B11C02">
              <w:t>3.5.</w:t>
            </w:r>
            <w:r w:rsidRPr="00B11C02">
              <w:tab/>
              <w:t>Benchmarking partner's functions, processes, operations and performance outcomes are analysed and documented.</w:t>
            </w:r>
          </w:p>
          <w:p w:rsidR="00000000" w:rsidRPr="00B11C02" w:rsidP="00B11C02">
            <w:pPr>
              <w:pStyle w:val="List2"/>
            </w:pPr>
            <w:r w:rsidRPr="00B11C02">
              <w:t>3.6.</w:t>
            </w:r>
            <w:r w:rsidRPr="00B11C02">
              <w:tab/>
              <w:t>Comparisons of perform</w:t>
            </w:r>
            <w:r w:rsidRPr="00B11C02">
              <w:t>ance are made to identify compatibility of measurement data, commonalities, trends, differences and gaps.</w:t>
            </w:r>
          </w:p>
          <w:p w:rsidR="00000000" w:rsidRPr="00B11C02" w:rsidP="00B11C02">
            <w:pPr>
              <w:pStyle w:val="List2"/>
            </w:pPr>
            <w:r w:rsidRPr="00B11C02">
              <w:t>3.7.</w:t>
            </w:r>
            <w:r w:rsidRPr="00B11C02">
              <w:tab/>
              <w:t>Comparisons or benchmarking reports are communicated to benchmarking partners according to agreement.</w:t>
            </w:r>
          </w:p>
          <w:p w:rsidR="00000000" w:rsidP="00B11C02">
            <w:pPr>
              <w:pStyle w:val="List2"/>
              <w:rPr>
                <w:lang w:val="en-NZ"/>
              </w:rPr>
            </w:pPr>
            <w:r w:rsidRPr="00B11C02">
              <w:t>3.8.</w:t>
            </w:r>
            <w:r w:rsidRPr="00B11C02">
              <w:tab/>
              <w:t>Change strategies are developed from a</w:t>
            </w:r>
            <w:r w:rsidRPr="00B11C02">
              <w:t>nalysis and evaluation of divergences and gaps.</w:t>
            </w:r>
          </w:p>
        </w:tc>
      </w:tr>
      <w:tr w:rsidTr="00AC064F">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List"/>
              <w:rPr>
                <w:lang w:val="en-NZ"/>
              </w:rPr>
            </w:pPr>
            <w:r w:rsidRPr="00B11C02">
              <w:t>4.</w:t>
            </w:r>
            <w:r w:rsidRPr="00B11C02">
              <w:tab/>
              <w:t>Capitalise on benchmarking outcomes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2"/>
            </w:pPr>
            <w:r w:rsidRPr="00B11C02">
              <w:t>4.1.</w:t>
            </w:r>
            <w:r w:rsidRPr="00B11C02">
              <w:tab/>
              <w:t xml:space="preserve">Opportunities for using benchmarking and </w:t>
            </w:r>
            <w:r w:rsidRPr="00B11C02">
              <w:rPr>
                <w:rStyle w:val="BoldandItalics"/>
              </w:rPr>
              <w:t>benchmarking data</w:t>
            </w:r>
            <w:r w:rsidRPr="00B11C02">
              <w:t xml:space="preserve"> in continuous improvement processes are identified.</w:t>
            </w:r>
          </w:p>
          <w:p w:rsidR="00000000" w:rsidRPr="00B11C02" w:rsidP="00B11C02">
            <w:pPr>
              <w:pStyle w:val="List2"/>
            </w:pPr>
            <w:r w:rsidRPr="00B11C02">
              <w:t>4.2.</w:t>
            </w:r>
            <w:r w:rsidRPr="00B11C02">
              <w:tab/>
            </w:r>
            <w:r w:rsidRPr="00B11C02">
              <w:t>Customer consultation and feedback is built into continuous improvement processes.</w:t>
            </w:r>
          </w:p>
          <w:p w:rsidR="00000000" w:rsidRPr="00B11C02" w:rsidP="00B11C02">
            <w:pPr>
              <w:pStyle w:val="List2"/>
            </w:pPr>
            <w:r w:rsidRPr="00B11C02">
              <w:t>4.3.</w:t>
            </w:r>
            <w:r w:rsidRPr="00B11C02">
              <w:tab/>
              <w:t>Enterprise personnel are supported through the change process.</w:t>
            </w:r>
          </w:p>
          <w:p w:rsidR="00000000" w:rsidRPr="00B11C02" w:rsidP="00B11C02">
            <w:pPr>
              <w:pStyle w:val="List2"/>
            </w:pPr>
            <w:r w:rsidRPr="00B11C02">
              <w:t>4.4.</w:t>
            </w:r>
            <w:r w:rsidRPr="00B11C02">
              <w:tab/>
              <w:t xml:space="preserve">Improvements resulting from the benchmarking processes are measured and reported to stakeholders. </w:t>
            </w:r>
          </w:p>
          <w:p w:rsidR="00000000" w:rsidRPr="00B11C02" w:rsidP="00B11C02">
            <w:pPr>
              <w:pStyle w:val="List2"/>
            </w:pPr>
            <w:r w:rsidRPr="00B11C02">
              <w:t>4</w:t>
            </w:r>
            <w:r w:rsidRPr="00B11C02">
              <w:t>.5.</w:t>
            </w:r>
            <w:r w:rsidRPr="00B11C02">
              <w:tab/>
              <w:t>Benchmarking information is utilised to develop the enterprise's competitive advantage and market profile.</w:t>
            </w:r>
          </w:p>
        </w:tc>
      </w:tr>
    </w:tbl>
    <w:p w:rsidR="00AC064F" w:rsidP="00B11C02">
      <w:pPr>
        <w:pStyle w:val="BodyText"/>
      </w:pPr>
    </w:p>
    <w:p w:rsidR="00AC064F" w:rsidP="00B11C02">
      <w:pPr>
        <w:pStyle w:val="BodyText"/>
      </w:pPr>
    </w:p>
    <w:p w:rsidR="00000000" w:rsidRPr="00B11C02" w:rsidP="00B11C02">
      <w:pPr>
        <w:pStyle w:val="Heading1"/>
      </w:pPr>
      <w:bookmarkStart w:id="9" w:name="O_261414"/>
      <w:bookmarkEnd w:id="9"/>
      <w:r w:rsidRPr="00B11C02">
        <w:t>Required Skills and Knowledge</w:t>
      </w:r>
    </w:p>
    <w:tbl>
      <w:tblPr>
        <w:tblW w:w="0" w:type="auto"/>
        <w:tblLayout w:type="fixed"/>
        <w:tblCellMar>
          <w:left w:w="62" w:type="dxa"/>
          <w:right w:w="62" w:type="dxa"/>
        </w:tblCellMar>
        <w:tblLook w:val="0000"/>
      </w:tblPr>
      <w:tblGrid>
        <w:gridCol w:w="8522"/>
      </w:tblGrid>
      <w:tr w:rsidTr="00AC06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REQUIRED SKILLS AND KNOWLEDGE</w:t>
            </w:r>
          </w:p>
        </w:tc>
      </w:tr>
      <w:tr w:rsidTr="00AC06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t>This section describes the skills and knowledge required for this unit.</w:t>
            </w:r>
          </w:p>
        </w:tc>
      </w:tr>
      <w:tr w:rsidTr="00AC06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Required skills</w:t>
            </w:r>
          </w:p>
        </w:tc>
      </w:tr>
      <w:tr w:rsidTr="00AC06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 xml:space="preserve">Ability to: </w:t>
            </w:r>
          </w:p>
          <w:p w:rsidR="00000000" w:rsidRPr="00B11C02" w:rsidP="00B11C02">
            <w:pPr>
              <w:pStyle w:val="ListBullet"/>
            </w:pPr>
            <w:r w:rsidRPr="00B11C02">
              <w:t xml:space="preserve">determine criteria for the identification of appropriate benchmarking partners and </w:t>
            </w:r>
            <w:r w:rsidRPr="00B11C02">
              <w:t>maintaining positive partner relationships, consistent with enterprise goals and directions</w:t>
            </w:r>
          </w:p>
          <w:p w:rsidR="00000000" w:rsidRPr="00B11C02" w:rsidP="00B11C02">
            <w:pPr>
              <w:pStyle w:val="ListBullet"/>
            </w:pPr>
            <w:r w:rsidRPr="00B11C02">
              <w:t>access industry and enterprise benchmarking data</w:t>
            </w:r>
          </w:p>
          <w:p w:rsidR="00000000" w:rsidRPr="00B11C02" w:rsidP="00B11C02">
            <w:pPr>
              <w:pStyle w:val="ListBullet"/>
            </w:pPr>
            <w:r w:rsidRPr="00B11C02">
              <w:t>analyse and interpret a range of complex qualitative and quantitative data relating to enterprise operations and be</w:t>
            </w:r>
            <w:r w:rsidRPr="00B11C02">
              <w:t>nchmarking activities</w:t>
            </w:r>
          </w:p>
          <w:p w:rsidR="00000000" w:rsidRPr="00B11C02" w:rsidP="00B11C02">
            <w:pPr>
              <w:pStyle w:val="ListBullet"/>
            </w:pPr>
            <w:r w:rsidRPr="00B11C02">
              <w:t>apply relevant communication and mathematical skills</w:t>
            </w:r>
          </w:p>
          <w:p w:rsidR="00000000" w:rsidRPr="00B11C02" w:rsidP="00B11C02">
            <w:pPr>
              <w:pStyle w:val="ListBullet"/>
            </w:pPr>
            <w:r w:rsidRPr="00B11C02">
              <w:t>identify enterprise goals and directions and explain the role benchmarking can have in achieving enterprise goals</w:t>
            </w:r>
          </w:p>
          <w:p w:rsidR="00000000" w:rsidRPr="00B11C02" w:rsidP="00B11C02">
            <w:pPr>
              <w:pStyle w:val="ListBullet"/>
            </w:pPr>
            <w:r w:rsidRPr="00B11C02">
              <w:t>develop and maintain positive relationships with benchmarking partn</w:t>
            </w:r>
            <w:r w:rsidRPr="00B11C02">
              <w:t>ers</w:t>
            </w:r>
          </w:p>
          <w:p w:rsidR="00000000" w:rsidRPr="00B11C02" w:rsidP="00B11C02">
            <w:pPr>
              <w:pStyle w:val="ListBullet"/>
            </w:pPr>
            <w:r w:rsidRPr="00B11C02">
              <w:t>work effectively as an individual and as a member of a team</w:t>
            </w:r>
          </w:p>
          <w:p w:rsidR="00000000" w:rsidRPr="00B11C02" w:rsidP="00B11C02">
            <w:pPr>
              <w:pStyle w:val="ListBullet"/>
            </w:pPr>
            <w:r w:rsidRPr="00B11C02">
              <w:t>use effective communication, negotiation and leadership skills in a range of benchmarking interactions (e.g. with benchmarking teams, benchmarking partners and internal stakeholders dealing wi</w:t>
            </w:r>
            <w:r w:rsidRPr="00B11C02">
              <w:t>th change)</w:t>
            </w:r>
          </w:p>
          <w:p w:rsidR="00000000" w:rsidRPr="00B11C02" w:rsidP="00B11C02">
            <w:pPr>
              <w:pStyle w:val="ListBullet"/>
            </w:pPr>
            <w:r w:rsidRPr="00B11C02">
              <w:t>use problem-solving skills in a range of situations</w:t>
            </w:r>
          </w:p>
          <w:p w:rsidR="00000000" w:rsidRPr="00B11C02" w:rsidP="00B11C02">
            <w:pPr>
              <w:pStyle w:val="ListBullet"/>
            </w:pPr>
            <w:r w:rsidRPr="00B11C02">
              <w:t>utilise information and communications technology including performance management, project management, statistical and modelling software</w:t>
            </w:r>
          </w:p>
          <w:p w:rsidR="00000000" w:rsidRPr="00B11C02" w:rsidP="00B11C02">
            <w:pPr>
              <w:pStyle w:val="ListBullet"/>
            </w:pPr>
            <w:r w:rsidRPr="00B11C02">
              <w:t>prepare a strategy for gathering and analysing custome</w:t>
            </w:r>
            <w:r w:rsidRPr="00B11C02">
              <w:t>r feedback</w:t>
            </w:r>
          </w:p>
          <w:p w:rsidR="00000000" w:rsidRPr="00B11C02" w:rsidP="00B11C02">
            <w:pPr>
              <w:pStyle w:val="ListBullet"/>
            </w:pPr>
            <w:r w:rsidRPr="00B11C02">
              <w:t>develop a financial model for measuring Return On Investment (ROI) for benchmarking processes</w:t>
            </w:r>
          </w:p>
          <w:p w:rsidR="00000000" w:rsidRPr="00B11C02" w:rsidP="00B11C02">
            <w:pPr>
              <w:pStyle w:val="ListBullet"/>
            </w:pPr>
            <w:r w:rsidRPr="00B11C02">
              <w:t>develop and implement a communication and marketing strategy to inform stakeholders (including senior management, personnel at all levels of the organi</w:t>
            </w:r>
            <w:r w:rsidRPr="00B11C02">
              <w:t>sation and customers) of benchmark goals, progress and outcomes</w:t>
            </w:r>
          </w:p>
          <w:p w:rsidR="00000000" w:rsidRPr="00B11C02" w:rsidP="00B11C02">
            <w:pPr>
              <w:pStyle w:val="ListBullet"/>
            </w:pPr>
            <w:r w:rsidRPr="00B11C02">
              <w:t>prepare benchmarking action plans that specify resource requirements, methodologies, milestones, communication strategies and timelines, and include mechanisms for linking with enterprise plan</w:t>
            </w:r>
            <w:r w:rsidRPr="00B11C02">
              <w:t>ning cycles and continuous improvement strategies</w:t>
            </w:r>
          </w:p>
          <w:p w:rsidR="00000000" w:rsidRPr="00B11C02" w:rsidP="00B11C02">
            <w:pPr>
              <w:pStyle w:val="ListBullet"/>
            </w:pPr>
            <w:r w:rsidRPr="00B11C02">
              <w:t>develop and implement strategies for the resolution of logistic, resource, cultural, ethical and political issues raised during the benchmarking process, including scheduling team release and involvement, supporting individuals through change, managing gro</w:t>
            </w:r>
            <w:r w:rsidRPr="00B11C02">
              <w:t>up dynamics, confidentiality and commercially sensitive information, dealing with diversity</w:t>
            </w:r>
          </w:p>
          <w:p w:rsidR="00000000" w:rsidRPr="00B11C02" w:rsidP="00B11C02">
            <w:pPr>
              <w:pStyle w:val="ListBullet"/>
            </w:pPr>
            <w:r w:rsidRPr="00B11C02">
              <w:t>develop performance indicators for the enterprise, function, department or process being benchmarked</w:t>
            </w:r>
          </w:p>
          <w:p w:rsidR="00000000" w:rsidRPr="00B11C02" w:rsidP="00B11C02">
            <w:pPr>
              <w:pStyle w:val="ListBullet"/>
            </w:pPr>
            <w:r w:rsidRPr="00B11C02">
              <w:t>implement the findings of benchmarking exercise including inter</w:t>
            </w:r>
            <w:r w:rsidRPr="00B11C02">
              <w:t>preting benchmarking results, identifying areas for improvements, building findings into targets and planning, identifying possible indicators of enterprise and/or department competitive edge and preparing a market profile</w:t>
            </w:r>
          </w:p>
          <w:p w:rsidR="00000000" w:rsidRPr="00B11C02" w:rsidP="00B11C02">
            <w:pPr>
              <w:pStyle w:val="ListBullet"/>
            </w:pPr>
            <w:r w:rsidRPr="00B11C02">
              <w:t>plan quantitative and qualitative</w:t>
            </w:r>
            <w:r w:rsidRPr="00B11C02">
              <w:t xml:space="preserve"> data management strategies (e.g. collection, collation, analysis, presentation and reporting)</w:t>
            </w:r>
          </w:p>
          <w:p w:rsidR="00000000" w:rsidRPr="00B11C02" w:rsidP="00B11C02">
            <w:pPr>
              <w:pStyle w:val="ListBullet"/>
            </w:pPr>
            <w:r w:rsidRPr="00B11C02">
              <w:t xml:space="preserve">prepare memorandums of understanding or contracts for benchmarking partners, as appropriate </w:t>
            </w:r>
          </w:p>
          <w:p w:rsidR="00000000" w:rsidRPr="00B11C02" w:rsidP="00B11C02">
            <w:pPr>
              <w:pStyle w:val="ListBullet"/>
            </w:pPr>
            <w:r w:rsidRPr="00B11C02">
              <w:t>present reports according to legal and enterprise requirements</w:t>
            </w:r>
          </w:p>
          <w:p w:rsidR="00000000" w:rsidP="00B11C02">
            <w:pPr>
              <w:pStyle w:val="ListBullet"/>
              <w:rPr>
                <w:lang w:val="en-NZ"/>
              </w:rPr>
            </w:pPr>
            <w:r w:rsidRPr="00B11C02">
              <w:t xml:space="preserve">take </w:t>
            </w:r>
            <w:r w:rsidRPr="00B11C02">
              <w:t>action to improve own work performance as a result of feedback from others, self-evaluation, or in response to changed work practices and technologies</w:t>
            </w:r>
          </w:p>
        </w:tc>
      </w:tr>
      <w:tr w:rsidTr="00AC06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Required knowledge</w:t>
            </w:r>
          </w:p>
        </w:tc>
      </w:tr>
      <w:tr w:rsidTr="00AC06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Knowledge of:</w:t>
            </w:r>
          </w:p>
          <w:p w:rsidR="00000000" w:rsidRPr="00B11C02" w:rsidP="00B11C02">
            <w:pPr>
              <w:pStyle w:val="ListBullet"/>
            </w:pPr>
            <w:r w:rsidRPr="00B11C02">
              <w:t>the role of performance indicators in benchmarking</w:t>
            </w:r>
          </w:p>
          <w:p w:rsidR="00000000" w:rsidRPr="00B11C02" w:rsidP="00B11C02">
            <w:pPr>
              <w:pStyle w:val="ListBullet"/>
            </w:pPr>
            <w:r w:rsidRPr="00B11C02">
              <w:t>the difference bet</w:t>
            </w:r>
            <w:r w:rsidRPr="00B11C02">
              <w:t xml:space="preserve">ween performance and process benchmarking </w:t>
            </w:r>
          </w:p>
          <w:p w:rsidR="00000000" w:rsidRPr="00B11C02" w:rsidP="00B11C02">
            <w:pPr>
              <w:pStyle w:val="ListBullet"/>
            </w:pPr>
            <w:r w:rsidRPr="00B11C02">
              <w:t>relevant OH&amp;S, workplace and regulatory requirements</w:t>
            </w:r>
          </w:p>
          <w:p w:rsidR="00000000" w:rsidRPr="00B11C02" w:rsidP="00B11C02">
            <w:pPr>
              <w:pStyle w:val="ListBullet"/>
            </w:pPr>
            <w:r w:rsidRPr="00B11C02">
              <w:t>the critical factors required for successful and effective benchmarking processes and outcomes, and the implications for enterprise benchmarking activities</w:t>
            </w:r>
          </w:p>
        </w:tc>
      </w:tr>
    </w:tbl>
    <w:p w:rsidR="00AC064F" w:rsidP="00B11C02">
      <w:pPr>
        <w:pStyle w:val="BodyText"/>
      </w:pPr>
    </w:p>
    <w:p w:rsidR="00AC064F" w:rsidP="00B11C02">
      <w:pPr>
        <w:pStyle w:val="BodyText"/>
      </w:pPr>
    </w:p>
    <w:p w:rsidR="00000000" w:rsidRPr="00B11C02" w:rsidP="00B11C02">
      <w:pPr>
        <w:pStyle w:val="AllowPageBreak"/>
      </w:pPr>
    </w:p>
    <w:p w:rsidR="00000000" w:rsidRPr="00B11C02" w:rsidP="00B11C02">
      <w:pPr>
        <w:pStyle w:val="Heading1"/>
      </w:pPr>
      <w:bookmarkStart w:id="10" w:name="O_245448"/>
      <w:bookmarkEnd w:id="10"/>
      <w:r w:rsidRPr="00B11C02">
        <w:t>Evidence Guide</w:t>
      </w:r>
    </w:p>
    <w:tbl>
      <w:tblPr>
        <w:tblW w:w="9570" w:type="dxa"/>
        <w:tblLayout w:type="fixed"/>
        <w:tblCellMar>
          <w:left w:w="62" w:type="dxa"/>
          <w:right w:w="62" w:type="dxa"/>
        </w:tblCellMar>
        <w:tblLook w:val="0000"/>
      </w:tblPr>
      <w:tblGrid>
        <w:gridCol w:w="3908"/>
        <w:gridCol w:w="5662"/>
      </w:tblGrid>
      <w:tr w:rsidTr="00AC06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EVIDENCE GUIDE</w:t>
            </w:r>
          </w:p>
        </w:tc>
      </w:tr>
      <w:tr w:rsidTr="00AC06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t xml:space="preserve">The evidence guide provides advice on assessment and must be read in conjunction with the performance criteria, required skills and knowledge, </w:t>
            </w:r>
            <w:r w:rsidRPr="00B11C02">
              <w:t>range statement and the Assessment Guidelines for the Training Package.</w:t>
            </w:r>
          </w:p>
        </w:tc>
      </w:tr>
      <w:tr w:rsidTr="00AC06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The meat industry has specific and clear requirements for evidence. A minimum of three forms of evidence is required to demonstrate competency in the meat indu</w:t>
            </w:r>
            <w:r w:rsidRPr="00B11C02">
              <w:t>stry. This is specifically designed to provide evidence that covers the demonstration in the workplace of all aspects of competency over time. These requirements are in addition to the requirements for valid, current, authentic and sufficient evidence.</w:t>
            </w:r>
          </w:p>
          <w:p w:rsidR="00000000" w:rsidRPr="00B11C02" w:rsidP="00B11C02">
            <w:pPr>
              <w:pStyle w:val="BodyText"/>
            </w:pPr>
          </w:p>
          <w:p w:rsidR="00000000" w:rsidRPr="00B11C02" w:rsidP="00B11C02">
            <w:pPr>
              <w:pStyle w:val="BodyText"/>
            </w:pPr>
            <w:r w:rsidRPr="00B11C02">
              <w:t>Three forms of evidence means three different kinds of evidence - not three pieces of the same kind. In practice it will mean that most of the unit is covered twice. This increases the legitimacy of the evidence.</w:t>
            </w:r>
          </w:p>
          <w:p w:rsidR="00000000" w:rsidRPr="00B11C02" w:rsidP="00B11C02">
            <w:pPr>
              <w:pStyle w:val="BodyText"/>
            </w:pPr>
          </w:p>
          <w:p w:rsidR="00000000" w:rsidP="00B11C02">
            <w:pPr>
              <w:pStyle w:val="BodyText"/>
              <w:rPr>
                <w:lang w:val="en-NZ"/>
              </w:rPr>
            </w:pPr>
            <w:r w:rsidRPr="00B11C02">
              <w:t>All assessment must be conducted against A</w:t>
            </w:r>
            <w:r w:rsidRPr="00B11C02">
              <w:t>ustralian meat industry standards and regulations.</w:t>
            </w:r>
          </w:p>
        </w:tc>
      </w:tr>
      <w:tr w:rsidTr="00AC06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Competency must be demonstrated through sustained performance over time, at an appropriate level of responsibility and authority under typical operating and production conditions for the enterprise.</w:t>
            </w:r>
          </w:p>
          <w:p w:rsidR="00000000" w:rsidRPr="00B11C02" w:rsidP="00B11C02">
            <w:pPr>
              <w:pStyle w:val="BodyText"/>
            </w:pPr>
          </w:p>
          <w:p w:rsidR="00000000" w:rsidP="00B11C02">
            <w:pPr>
              <w:pStyle w:val="BodyText"/>
              <w:rPr>
                <w:lang w:val="en-NZ"/>
              </w:rPr>
            </w:pPr>
            <w:r w:rsidRPr="00B11C02">
              <w:t>Effective management and/or facilitation of a benchmarki</w:t>
            </w:r>
            <w:r w:rsidRPr="00B11C02">
              <w:t xml:space="preserve">ng process, including related improvement activities, must be demonstrated. </w:t>
            </w:r>
          </w:p>
        </w:tc>
      </w:tr>
      <w:tr w:rsidTr="00AC06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Resources may include:</w:t>
            </w:r>
          </w:p>
          <w:p w:rsidR="00000000" w:rsidRPr="00B11C02" w:rsidP="00B11C02">
            <w:pPr>
              <w:pStyle w:val="ListBullet"/>
            </w:pPr>
            <w:r w:rsidRPr="00B11C02">
              <w:t>access to appropriate information sources including industry standards and research data, similar busines</w:t>
            </w:r>
            <w:r w:rsidRPr="00B11C02">
              <w:t>ses and industries</w:t>
            </w:r>
          </w:p>
          <w:p w:rsidR="00000000" w:rsidRPr="00B11C02" w:rsidP="00B11C02">
            <w:pPr>
              <w:pStyle w:val="ListBullet"/>
            </w:pPr>
            <w:r w:rsidRPr="00B11C02">
              <w:t>enterprise system information</w:t>
            </w:r>
          </w:p>
          <w:p w:rsidR="00000000" w:rsidP="00B11C02">
            <w:pPr>
              <w:pStyle w:val="ListBullet"/>
              <w:rPr>
                <w:lang w:val="en-NZ"/>
              </w:rPr>
            </w:pPr>
            <w:r w:rsidRPr="00B11C02">
              <w:t>workplace environment with typical operation and production conditions.</w:t>
            </w:r>
          </w:p>
        </w:tc>
      </w:tr>
      <w:tr w:rsidTr="00AC06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Recommended methods of assessment include:</w:t>
            </w:r>
          </w:p>
          <w:p w:rsidR="00000000" w:rsidRPr="00B11C02" w:rsidP="00B11C02">
            <w:pPr>
              <w:pStyle w:val="ListBullet"/>
            </w:pPr>
            <w:r w:rsidRPr="00B11C02">
              <w:t>a third-party referee report of sustained performance at appropriate level of authority and responsibility</w:t>
            </w:r>
          </w:p>
          <w:p w:rsidR="00000000" w:rsidRPr="00B11C02" w:rsidP="00B11C02">
            <w:pPr>
              <w:pStyle w:val="ListBullet"/>
            </w:pPr>
            <w:r w:rsidRPr="00B11C02">
              <w:t>assignment focusing on understanding and application of principles and theory to workplace operations</w:t>
            </w:r>
          </w:p>
          <w:p w:rsidR="00000000" w:rsidRPr="00B11C02" w:rsidP="00B11C02">
            <w:pPr>
              <w:pStyle w:val="ListBullet"/>
            </w:pPr>
            <w:r w:rsidRPr="00B11C02">
              <w:t>simulation</w:t>
            </w:r>
          </w:p>
          <w:p w:rsidR="00000000" w:rsidRPr="00B11C02" w:rsidP="00B11C02">
            <w:pPr>
              <w:pStyle w:val="ListBullet"/>
            </w:pPr>
            <w:r w:rsidRPr="00B11C02">
              <w:t xml:space="preserve">workplace or industry projects with </w:t>
            </w:r>
            <w:r w:rsidRPr="00B11C02">
              <w:t>a focus on company/industry environment and conditions.</w:t>
            </w:r>
          </w:p>
          <w:p w:rsidR="00000000" w:rsidRPr="00B11C02" w:rsidP="00B11C02">
            <w:pPr>
              <w:pStyle w:val="BodyText"/>
            </w:pPr>
          </w:p>
          <w:p w:rsidR="00000000" w:rsidP="00B11C02">
            <w:pPr>
              <w:pStyle w:val="BodyText"/>
              <w:rPr>
                <w:lang w:val="en-NZ"/>
              </w:rPr>
            </w:pPr>
            <w:r w:rsidRPr="00B11C02">
              <w:t>Assessment practices should take into account any relevant language or cultural issues related to Aboriginality or Torres Strait Islander, gender, or language backgrounds other than English. Language</w:t>
            </w:r>
            <w:r w:rsidRPr="00B11C02">
              <w:t xml:space="preserve"> and literacy demands of the assessment task should not be higher than those of the work role.</w:t>
            </w:r>
          </w:p>
        </w:tc>
      </w:tr>
      <w:tr w:rsidTr="00AC06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r w:rsidRPr="00B11C02">
              <w:t xml:space="preserve">A current list of resources for this unit of competency is available from MINTRAC </w:t>
            </w:r>
            <w:r w:rsidRPr="00B11C02">
              <w:rPr>
                <w:rStyle w:val="Underline"/>
              </w:rPr>
              <w:t>www</w:t>
            </w:r>
            <w:r w:rsidRPr="00B11C02">
              <w:t>.</w:t>
            </w:r>
            <w:r w:rsidRPr="00B11C02">
              <w:rPr>
                <w:rStyle w:val="Underline"/>
              </w:rPr>
              <w:t>mintrac</w:t>
            </w:r>
            <w:r w:rsidRPr="00B11C02">
              <w:t>.</w:t>
            </w:r>
            <w:r w:rsidRPr="00B11C02">
              <w:rPr>
                <w:rStyle w:val="Underline"/>
              </w:rPr>
              <w:t>com</w:t>
            </w:r>
            <w:r w:rsidRPr="00B11C02">
              <w:t>.</w:t>
            </w:r>
            <w:r w:rsidRPr="00B11C02">
              <w:rPr>
                <w:rStyle w:val="Underline"/>
              </w:rPr>
              <w:t>au</w:t>
            </w:r>
            <w:r w:rsidRPr="00B11C02">
              <w:t xml:space="preserve">  or telephone 1800 817 </w:t>
            </w:r>
            <w:r w:rsidRPr="00B11C02">
              <w:t>462.</w:t>
            </w:r>
          </w:p>
        </w:tc>
      </w:tr>
    </w:tbl>
    <w:p w:rsidR="00AC064F" w:rsidP="00B11C02">
      <w:pPr>
        <w:pStyle w:val="BodyText"/>
      </w:pPr>
    </w:p>
    <w:p w:rsidR="00AC064F" w:rsidP="00B11C02">
      <w:pPr>
        <w:pStyle w:val="BodyText"/>
      </w:pPr>
    </w:p>
    <w:p w:rsidR="00000000" w:rsidRPr="00B11C02" w:rsidP="00B11C02">
      <w:pPr>
        <w:pStyle w:val="Heading1"/>
      </w:pPr>
      <w:bookmarkStart w:id="11" w:name="O_253431"/>
      <w:bookmarkEnd w:id="11"/>
      <w:r w:rsidRPr="00B11C02">
        <w:t>Range Statement</w:t>
      </w:r>
    </w:p>
    <w:tbl>
      <w:tblPr>
        <w:tblW w:w="0" w:type="auto"/>
        <w:tblLayout w:type="fixed"/>
        <w:tblCellMar>
          <w:left w:w="62" w:type="dxa"/>
          <w:right w:w="62" w:type="dxa"/>
        </w:tblCellMar>
        <w:tblLook w:val="0000"/>
      </w:tblPr>
      <w:tblGrid>
        <w:gridCol w:w="3498"/>
        <w:gridCol w:w="5024"/>
      </w:tblGrid>
      <w:tr w:rsidTr="00AC06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RANGE STATEMENT</w:t>
            </w:r>
          </w:p>
        </w:tc>
      </w:tr>
      <w:tr w:rsidTr="00AC06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t xml:space="preserve">The range statement relates to the unit of competency as a whole. It allows for different work environments and situations that may affect </w:t>
            </w:r>
            <w:r w:rsidRPr="00B11C02">
              <w:t>performance. Bold italicised wording, if used in the performance criteria, is detailed below. Essential operating conditions that may be present with training and assessment (depending on the work situation, needs of the candidate, accessibility of the ite</w:t>
            </w:r>
            <w:r w:rsidRPr="00B11C02">
              <w:t>m, and local industry and regional contexts) may also be included.</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Benchmarking</w:t>
            </w:r>
            <w:r w:rsidRPr="00B11C02">
              <w:t xml:space="preserve"> may be undertaken: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between companies, including competitors</w:t>
            </w:r>
          </w:p>
          <w:p w:rsidR="00000000" w:rsidRPr="00B11C02" w:rsidP="00B11C02">
            <w:pPr>
              <w:pStyle w:val="ListBullet"/>
            </w:pPr>
            <w:r w:rsidRPr="00B11C02">
              <w:t>between departments or sections:</w:t>
            </w:r>
          </w:p>
          <w:p w:rsidR="00000000" w:rsidRPr="00B11C02" w:rsidP="00B11C02">
            <w:pPr>
              <w:pStyle w:val="ListBullet2"/>
            </w:pPr>
            <w:r w:rsidRPr="00B11C02">
              <w:t>boning, slaughter, rendering, stockyards, sales</w:t>
            </w:r>
          </w:p>
          <w:p w:rsidR="00000000" w:rsidRPr="00B11C02" w:rsidP="00B11C02">
            <w:pPr>
              <w:pStyle w:val="ListBullet2"/>
            </w:pPr>
            <w:r w:rsidRPr="00B11C02">
              <w:t>curing, corning, smokehouse, rasher room</w:t>
            </w:r>
          </w:p>
          <w:p w:rsidR="00000000" w:rsidRPr="00B11C02" w:rsidP="00B11C02">
            <w:pPr>
              <w:pStyle w:val="ListBullet2"/>
            </w:pPr>
            <w:r w:rsidRPr="00B11C02">
              <w:t>for functional areas (e.g. human resources, finances, production, marketing and sales)</w:t>
            </w:r>
          </w:p>
          <w:p w:rsidR="00000000" w:rsidRPr="00B11C02" w:rsidP="00B11C02">
            <w:pPr>
              <w:pStyle w:val="ListBullet"/>
            </w:pPr>
            <w:r w:rsidRPr="00B11C02">
              <w:t>between sites</w:t>
            </w:r>
          </w:p>
          <w:p w:rsidR="00000000" w:rsidRPr="00B11C02" w:rsidP="00B11C02">
            <w:pPr>
              <w:pStyle w:val="ListBullet"/>
            </w:pPr>
            <w:r w:rsidRPr="00B11C02">
              <w:t>between the company and industry</w:t>
            </w:r>
          </w:p>
          <w:p w:rsidR="00000000" w:rsidP="00B11C02">
            <w:pPr>
              <w:pStyle w:val="ListBullet"/>
              <w:rPr>
                <w:lang w:val="en-NZ"/>
              </w:rPr>
            </w:pPr>
            <w:r w:rsidRPr="00B11C02">
              <w:t>internally, externally or across industries.</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Improvements to efficiency</w:t>
            </w:r>
            <w:r w:rsidRPr="00B11C02">
              <w:t xml:space="preserve"> might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 xml:space="preserve">reductions in labour </w:t>
            </w:r>
          </w:p>
          <w:p w:rsidR="00000000" w:rsidP="00B11C02">
            <w:pPr>
              <w:pStyle w:val="ListBullet"/>
              <w:rPr>
                <w:lang w:val="en-NZ"/>
              </w:rPr>
            </w:pPr>
            <w:r w:rsidRPr="00B11C02">
              <w:t>reductions in resource costs.</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Regulatory requirements</w:t>
            </w:r>
            <w:r w:rsidRPr="00B11C02">
              <w:t xml:space="preserve"> may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animal welfare</w:t>
            </w:r>
          </w:p>
          <w:p w:rsidR="00000000" w:rsidRPr="00B11C02" w:rsidP="00B11C02">
            <w:pPr>
              <w:pStyle w:val="ListBullet"/>
            </w:pPr>
            <w:r w:rsidRPr="00B11C02">
              <w:t>commercial law including fair trading, trade practices, Intellectual Property  (IP)</w:t>
            </w:r>
          </w:p>
          <w:p w:rsidR="00000000" w:rsidRPr="00B11C02" w:rsidP="00B11C02">
            <w:pPr>
              <w:pStyle w:val="ListBullet"/>
            </w:pPr>
            <w:r w:rsidRPr="00B11C02">
              <w:t>consumer law</w:t>
            </w:r>
          </w:p>
          <w:p w:rsidR="00000000" w:rsidRPr="00B11C02" w:rsidP="00B11C02">
            <w:pPr>
              <w:pStyle w:val="ListBullet"/>
            </w:pPr>
            <w:r w:rsidRPr="00B11C02">
              <w:t>corporate law, including registrat</w:t>
            </w:r>
            <w:r w:rsidRPr="00B11C02">
              <w:t>ion, licensing, financial reporting</w:t>
            </w:r>
          </w:p>
          <w:p w:rsidR="00000000" w:rsidRPr="00B11C02" w:rsidP="00B11C02">
            <w:pPr>
              <w:pStyle w:val="ListBullet"/>
            </w:pPr>
            <w:r w:rsidRPr="00B11C02">
              <w:t>environmental impact, sustainability and waste management</w:t>
            </w:r>
          </w:p>
          <w:p w:rsidR="00000000" w:rsidRPr="00B11C02" w:rsidP="00B11C02">
            <w:pPr>
              <w:pStyle w:val="ListBullet"/>
            </w:pPr>
            <w:r w:rsidRPr="00B11C02">
              <w:t>Equal Employment Opportunity (EEO), anti-discrimination and sexual harassment</w:t>
            </w:r>
          </w:p>
          <w:p w:rsidR="00000000" w:rsidRPr="00B11C02" w:rsidP="00B11C02">
            <w:pPr>
              <w:pStyle w:val="ListBullet"/>
            </w:pPr>
            <w:r w:rsidRPr="00B11C02">
              <w:t>Export Control Act</w:t>
            </w:r>
          </w:p>
          <w:p w:rsidR="00000000" w:rsidRPr="00B11C02" w:rsidP="00B11C02">
            <w:pPr>
              <w:pStyle w:val="ListBullet"/>
            </w:pPr>
            <w:r w:rsidRPr="00B11C02">
              <w:t xml:space="preserve">industrial awards, agreements </w:t>
            </w:r>
          </w:p>
          <w:p w:rsidR="00000000" w:rsidRPr="00B11C02" w:rsidP="00B11C02">
            <w:pPr>
              <w:pStyle w:val="ListBullet"/>
            </w:pPr>
            <w:r w:rsidRPr="00B11C02">
              <w:t>relevant regulations</w:t>
            </w:r>
          </w:p>
          <w:p w:rsidR="00000000" w:rsidRPr="00B11C02" w:rsidP="00B11C02">
            <w:pPr>
              <w:pStyle w:val="ListBullet"/>
            </w:pPr>
            <w:r w:rsidRPr="00B11C02">
              <w:t>risk manageme</w:t>
            </w:r>
            <w:r w:rsidRPr="00B11C02">
              <w:t>nt</w:t>
            </w:r>
          </w:p>
          <w:p w:rsidR="00000000" w:rsidRPr="00B11C02" w:rsidP="00B11C02">
            <w:pPr>
              <w:pStyle w:val="ListBullet"/>
            </w:pPr>
            <w:r w:rsidRPr="00B11C02">
              <w:t>state and territory regulations regarding meat processing</w:t>
            </w:r>
          </w:p>
          <w:p w:rsidR="00000000" w:rsidP="00B11C02">
            <w:pPr>
              <w:pStyle w:val="ListBullet"/>
              <w:rPr>
                <w:lang w:val="en-NZ"/>
              </w:rPr>
            </w:pPr>
            <w:r w:rsidRPr="00B11C02">
              <w:t>taxation.</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Benchmarking strategies</w:t>
            </w:r>
            <w:r w:rsidRPr="00B11C02">
              <w:t xml:space="preserve"> may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audit of internal systems or processes</w:t>
            </w:r>
          </w:p>
          <w:p w:rsidR="00000000" w:rsidRPr="00B11C02" w:rsidP="00B11C02">
            <w:pPr>
              <w:pStyle w:val="ListBullet"/>
            </w:pPr>
            <w:r w:rsidRPr="00B11C02">
              <w:t>analysis of partner's systems or processes</w:t>
            </w:r>
          </w:p>
          <w:p w:rsidR="00000000" w:rsidRPr="00B11C02" w:rsidP="00B11C02">
            <w:pPr>
              <w:pStyle w:val="ListBullet"/>
            </w:pPr>
            <w:r w:rsidRPr="00B11C02">
              <w:t>benchmarking outside the immediate industry (e.g. benchmarking against freight and logistics enterprises)</w:t>
            </w:r>
          </w:p>
          <w:p w:rsidR="00000000" w:rsidRPr="00B11C02" w:rsidP="00B11C02">
            <w:pPr>
              <w:pStyle w:val="ListBullet"/>
            </w:pPr>
            <w:r w:rsidRPr="00B11C02">
              <w:t>competitive or lean manufacturing</w:t>
            </w:r>
          </w:p>
          <w:p w:rsidR="00000000" w:rsidRPr="00B11C02" w:rsidP="00B11C02">
            <w:pPr>
              <w:pStyle w:val="ListBullet"/>
            </w:pPr>
            <w:r w:rsidRPr="00B11C02">
              <w:t>benchmarking cross the value chain</w:t>
            </w:r>
          </w:p>
          <w:p w:rsidR="00000000" w:rsidRPr="00B11C02" w:rsidP="00B11C02">
            <w:pPr>
              <w:pStyle w:val="ListBullet"/>
            </w:pPr>
            <w:r w:rsidRPr="00B11C02">
              <w:t>Total Quality Management (TQM)</w:t>
            </w:r>
          </w:p>
          <w:p w:rsidR="00000000" w:rsidP="00B11C02">
            <w:pPr>
              <w:pStyle w:val="ListBullet"/>
              <w:rPr>
                <w:lang w:val="en-NZ"/>
              </w:rPr>
            </w:pPr>
            <w:r w:rsidRPr="00B11C02">
              <w:t>Six Sigma.</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Communication</w:t>
            </w:r>
            <w:r w:rsidRPr="00B11C02">
              <w:t xml:space="preserve"> may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be formal or info</w:t>
            </w:r>
            <w:r w:rsidRPr="00B11C02">
              <w:t>rmal and involve face-to-face and technological/electronic methods</w:t>
            </w:r>
          </w:p>
          <w:p w:rsidR="00000000" w:rsidRPr="00B11C02" w:rsidP="00B11C02">
            <w:pPr>
              <w:pStyle w:val="ListBullet"/>
            </w:pPr>
            <w:r w:rsidRPr="00B11C02">
              <w:t>be inclusive of the cultural, ethnic and social diversity of individuals and groups</w:t>
            </w:r>
          </w:p>
          <w:p w:rsidR="00000000" w:rsidRPr="00B11C02" w:rsidP="00B11C02">
            <w:pPr>
              <w:pStyle w:val="ListBullet"/>
            </w:pPr>
            <w:r w:rsidRPr="00B11C02">
              <w:t>involve preparation of reports which may be complex, contain information from a range of technical sources and include mathematical and graphic information and data</w:t>
            </w:r>
          </w:p>
          <w:p w:rsidR="00000000" w:rsidRPr="00B11C02" w:rsidP="00B11C02">
            <w:pPr>
              <w:pStyle w:val="ListBullet"/>
            </w:pPr>
            <w:r w:rsidRPr="00B11C02">
              <w:t>involve reading and interpreting workplace documentation</w:t>
            </w:r>
          </w:p>
          <w:p w:rsidR="00000000" w:rsidRPr="00B11C02" w:rsidP="00B11C02">
            <w:pPr>
              <w:pStyle w:val="ListBullet"/>
            </w:pPr>
            <w:r w:rsidRPr="00B11C02">
              <w:t>occur in a variety of sensitive, c</w:t>
            </w:r>
            <w:r w:rsidRPr="00B11C02">
              <w:t>onflictive, collaborative and supportive environments</w:t>
            </w:r>
          </w:p>
          <w:p w:rsidR="00000000" w:rsidRPr="00B11C02" w:rsidP="00B11C02">
            <w:pPr>
              <w:pStyle w:val="ListBullet"/>
            </w:pPr>
            <w:r w:rsidRPr="00B11C02">
              <w:t>require analysis and presentation of complex concepts, technical information, mathematical information and other data in simple or complex formats</w:t>
            </w:r>
          </w:p>
          <w:p w:rsidR="00000000" w:rsidP="00B11C02">
            <w:pPr>
              <w:pStyle w:val="ListBullet"/>
              <w:rPr>
                <w:lang w:val="en-NZ"/>
              </w:rPr>
            </w:pPr>
            <w:r w:rsidRPr="00B11C02">
              <w:t>require persuasion, negotiation and assertiveness skill</w:t>
            </w:r>
            <w:r w:rsidRPr="00B11C02">
              <w:t>s.</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Mathematical requirements</w:t>
            </w:r>
            <w:r w:rsidRPr="00B11C02">
              <w:t xml:space="preserve"> may:</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be complex and relate to product and product quality, financial operations, personnel, operations, sales and turnover and exports</w:t>
            </w:r>
          </w:p>
          <w:p w:rsidR="00000000" w:rsidRPr="00B11C02" w:rsidP="00B11C02">
            <w:pPr>
              <w:pStyle w:val="ListBullet"/>
            </w:pPr>
            <w:r w:rsidRPr="00B11C02">
              <w:t>involve the use of information and communications technology and services, online and offl</w:t>
            </w:r>
            <w:r w:rsidRPr="00B11C02">
              <w:t>ine data bases, information management and storage systems and e-commerce</w:t>
            </w:r>
          </w:p>
          <w:p w:rsidR="00000000" w:rsidRPr="00B11C02" w:rsidP="00B11C02">
            <w:pPr>
              <w:pStyle w:val="ListBullet"/>
            </w:pPr>
            <w:r w:rsidRPr="00B11C02">
              <w:t>relate to complex actual and hypothetical, technical and financial modelling, calculations, interpretation or analysis</w:t>
            </w:r>
          </w:p>
          <w:p w:rsidR="00000000" w:rsidP="00B11C02">
            <w:pPr>
              <w:pStyle w:val="ListBullet"/>
              <w:rPr>
                <w:lang w:val="en-NZ"/>
              </w:rPr>
            </w:pPr>
            <w:r w:rsidRPr="00B11C02">
              <w:t>involve statistical analysis of enterprise and industry data.</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Stakeholders</w:t>
            </w:r>
            <w:r w:rsidRPr="00B11C02">
              <w:t xml:space="preserve"> may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company owners, directors, shareholders, financiers</w:t>
            </w:r>
          </w:p>
          <w:p w:rsidR="00000000" w:rsidRPr="00B11C02" w:rsidP="00B11C02">
            <w:pPr>
              <w:pStyle w:val="ListBullet"/>
            </w:pPr>
            <w:r w:rsidRPr="00B11C02">
              <w:t>competitors</w:t>
            </w:r>
          </w:p>
          <w:p w:rsidR="00000000" w:rsidRPr="00B11C02" w:rsidP="00B11C02">
            <w:pPr>
              <w:pStyle w:val="ListBullet"/>
            </w:pPr>
            <w:r w:rsidRPr="00B11C02">
              <w:t>management and employees</w:t>
            </w:r>
          </w:p>
          <w:p w:rsidR="00000000" w:rsidRPr="00B11C02" w:rsidP="00B11C02">
            <w:pPr>
              <w:pStyle w:val="ListBullet"/>
            </w:pPr>
            <w:r w:rsidRPr="00B11C02">
              <w:t>suppliers, customers, consumers</w:t>
            </w:r>
          </w:p>
          <w:p w:rsidR="00000000" w:rsidRPr="00B11C02" w:rsidP="00B11C02">
            <w:pPr>
              <w:pStyle w:val="ListBullet"/>
            </w:pPr>
            <w:r w:rsidRPr="00B11C02">
              <w:t>unions and employer associations</w:t>
            </w:r>
          </w:p>
          <w:p w:rsidR="00000000" w:rsidRPr="00B11C02" w:rsidP="00B11C02">
            <w:pPr>
              <w:pStyle w:val="ListBullet"/>
            </w:pPr>
            <w:r w:rsidRPr="00B11C02">
              <w:t>meat industry and industry organisations</w:t>
            </w:r>
          </w:p>
          <w:p w:rsidR="00000000" w:rsidP="00B11C02">
            <w:pPr>
              <w:pStyle w:val="ListBullet"/>
              <w:rPr>
                <w:lang w:val="en-NZ"/>
              </w:rPr>
            </w:pPr>
            <w:r w:rsidRPr="00B11C02">
              <w:t>government organisations.</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Benchmarking teams</w:t>
            </w:r>
            <w:r w:rsidRPr="00B11C02">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lead team</w:t>
            </w:r>
          </w:p>
          <w:p w:rsidR="00000000" w:rsidRPr="00B11C02" w:rsidP="00B11C02">
            <w:pPr>
              <w:pStyle w:val="ListBullet"/>
            </w:pPr>
            <w:r w:rsidRPr="00B11C02">
              <w:t>preparation team</w:t>
            </w:r>
          </w:p>
          <w:p w:rsidR="00000000" w:rsidRPr="00B11C02" w:rsidP="00B11C02">
            <w:pPr>
              <w:pStyle w:val="ListBullet"/>
            </w:pPr>
            <w:r w:rsidRPr="00B11C02">
              <w:t>visit team</w:t>
            </w:r>
          </w:p>
          <w:p w:rsidR="00000000" w:rsidP="00B11C02">
            <w:pPr>
              <w:pStyle w:val="ListBullet"/>
              <w:rPr>
                <w:lang w:val="en-NZ"/>
              </w:rPr>
            </w:pPr>
            <w:r w:rsidRPr="00B11C02">
              <w:t>improvement team.</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Benchmarking partners</w:t>
            </w:r>
            <w:r w:rsidRPr="00B11C02">
              <w:t xml:space="preserve"> and benchmarks may be: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competitors</w:t>
            </w:r>
          </w:p>
          <w:p w:rsidR="00000000" w:rsidRPr="00B11C02" w:rsidP="00B11C02">
            <w:pPr>
              <w:pStyle w:val="ListBullet"/>
            </w:pPr>
            <w:r w:rsidRPr="00B11C02">
              <w:t>generic or cross industry</w:t>
            </w:r>
          </w:p>
          <w:p w:rsidR="00000000" w:rsidRPr="00B11C02" w:rsidP="00B11C02">
            <w:pPr>
              <w:pStyle w:val="ListBullet"/>
            </w:pPr>
            <w:r w:rsidRPr="00B11C02">
              <w:t xml:space="preserve">industry and industry data owners </w:t>
            </w:r>
          </w:p>
          <w:p w:rsidR="00000000" w:rsidP="00B11C02">
            <w:pPr>
              <w:pStyle w:val="ListBullet"/>
              <w:rPr>
                <w:lang w:val="en-NZ"/>
              </w:rPr>
            </w:pPr>
            <w:r w:rsidRPr="00B11C02">
              <w:t>internal.</w:t>
            </w:r>
          </w:p>
        </w:tc>
      </w:tr>
      <w:tr w:rsidTr="00AC064F">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BoldandItalics"/>
              </w:rPr>
              <w:t>Benchmarking data</w:t>
            </w:r>
            <w:r w:rsidRPr="00B11C02">
              <w:t xml:space="preserve"> may include: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ListBullet"/>
            </w:pPr>
            <w:r w:rsidRPr="00B11C02">
              <w:t>input, output (process output) information</w:t>
            </w:r>
          </w:p>
          <w:p w:rsidR="00000000" w:rsidRPr="00B11C02" w:rsidP="00B11C02">
            <w:pPr>
              <w:pStyle w:val="ListBullet"/>
            </w:pPr>
            <w:r w:rsidRPr="00B11C02">
              <w:t>performance indicators</w:t>
            </w:r>
          </w:p>
          <w:p w:rsidR="00000000" w:rsidRPr="00B11C02" w:rsidP="00B11C02">
            <w:pPr>
              <w:pStyle w:val="ListBullet"/>
            </w:pPr>
            <w:r w:rsidRPr="00B11C02">
              <w:t>qualitative data, formal and informal feedback, reports, interviews</w:t>
            </w:r>
          </w:p>
          <w:p w:rsidR="00000000" w:rsidRPr="00B11C02" w:rsidP="00B11C02">
            <w:pPr>
              <w:pStyle w:val="ListBullet"/>
            </w:pPr>
            <w:r w:rsidRPr="00B11C02">
              <w:t>industry data</w:t>
            </w:r>
          </w:p>
          <w:p w:rsidR="00000000" w:rsidRPr="00B11C02" w:rsidP="00B11C02">
            <w:pPr>
              <w:pStyle w:val="ListBullet"/>
            </w:pPr>
            <w:r w:rsidRPr="00B11C02">
              <w:t>quantitative data, statistics, surveys.</w:t>
            </w:r>
          </w:p>
        </w:tc>
      </w:tr>
    </w:tbl>
    <w:p w:rsidR="00AC064F" w:rsidP="00B11C02">
      <w:pPr>
        <w:pStyle w:val="BodyText"/>
      </w:pPr>
    </w:p>
    <w:p w:rsidR="00AC064F" w:rsidP="00B11C02">
      <w:pPr>
        <w:pStyle w:val="BodyText"/>
      </w:pPr>
    </w:p>
    <w:p w:rsidR="00000000" w:rsidRPr="00B11C02" w:rsidP="00B11C02">
      <w:pPr>
        <w:pStyle w:val="Heading1"/>
      </w:pPr>
      <w:bookmarkStart w:id="12" w:name="O_215701"/>
      <w:bookmarkEnd w:id="12"/>
      <w:r w:rsidRPr="00B11C02">
        <w:t>Unit Sector(s)</w:t>
      </w:r>
    </w:p>
    <w:tbl>
      <w:tblPr>
        <w:tblW w:w="0" w:type="auto"/>
        <w:tblLayout w:type="fixed"/>
        <w:tblCellMar>
          <w:left w:w="62" w:type="dxa"/>
          <w:right w:w="62" w:type="dxa"/>
        </w:tblCellMar>
        <w:tblLook w:val="0000"/>
      </w:tblPr>
      <w:tblGrid>
        <w:gridCol w:w="2654"/>
        <w:gridCol w:w="5868"/>
      </w:tblGrid>
      <w:tr w:rsidTr="00AC06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p>
        </w:tc>
      </w:tr>
    </w:tbl>
    <w:p w:rsidR="00AC064F" w:rsidP="00B11C02">
      <w:pPr>
        <w:pStyle w:val="BodyText"/>
      </w:pPr>
    </w:p>
    <w:p w:rsidR="00AC064F" w:rsidP="00B11C02">
      <w:pPr>
        <w:pStyle w:val="BodyText"/>
      </w:pPr>
    </w:p>
    <w:p w:rsidR="00000000" w:rsidRPr="00B11C02" w:rsidP="00B11C02">
      <w:pPr>
        <w:pStyle w:val="Heading1"/>
      </w:pPr>
      <w:bookmarkStart w:id="13" w:name="O_215698"/>
      <w:bookmarkEnd w:id="13"/>
      <w:r w:rsidRPr="00B11C02">
        <w:t>Co-requisite units</w:t>
      </w:r>
    </w:p>
    <w:tbl>
      <w:tblPr>
        <w:tblW w:w="0" w:type="auto"/>
        <w:tblLayout w:type="fixed"/>
        <w:tblCellMar>
          <w:left w:w="62" w:type="dxa"/>
          <w:right w:w="62" w:type="dxa"/>
        </w:tblCellMar>
        <w:tblLook w:val="0000"/>
      </w:tblPr>
      <w:tblGrid>
        <w:gridCol w:w="2641"/>
        <w:gridCol w:w="1322"/>
        <w:gridCol w:w="4559"/>
      </w:tblGrid>
      <w:tr w:rsidTr="00AC06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p>
        </w:tc>
      </w:tr>
      <w:tr w:rsidTr="00AC06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p>
        </w:tc>
      </w:tr>
      <w:tr w:rsidTr="00AC06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p>
        </w:tc>
      </w:tr>
    </w:tbl>
    <w:p w:rsidR="00AC064F" w:rsidP="00B11C02">
      <w:pPr>
        <w:pStyle w:val="BodyText"/>
      </w:pPr>
    </w:p>
    <w:p w:rsidR="00AC064F" w:rsidP="00B11C02">
      <w:pPr>
        <w:pStyle w:val="BodyText"/>
      </w:pPr>
    </w:p>
    <w:p w:rsidR="00000000" w:rsidRPr="00B11C02" w:rsidP="00B11C02">
      <w:pPr>
        <w:pStyle w:val="Heading1"/>
      </w:pPr>
      <w:bookmarkStart w:id="14" w:name="O_215700"/>
      <w:bookmarkEnd w:id="14"/>
      <w:r w:rsidRPr="00B11C02">
        <w:t>Competency field</w:t>
      </w:r>
    </w:p>
    <w:tbl>
      <w:tblPr>
        <w:tblW w:w="0" w:type="auto"/>
        <w:tblLayout w:type="fixed"/>
        <w:tblCellMar>
          <w:left w:w="62" w:type="dxa"/>
          <w:right w:w="62" w:type="dxa"/>
        </w:tblCellMar>
        <w:tblLook w:val="0000"/>
      </w:tblPr>
      <w:tblGrid>
        <w:gridCol w:w="2784"/>
        <w:gridCol w:w="5738"/>
      </w:tblGrid>
      <w:tr w:rsidTr="00AC06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1C02">
            <w:pPr>
              <w:pStyle w:val="BodyText"/>
              <w:rPr>
                <w:lang w:val="en-NZ"/>
              </w:rPr>
            </w:pPr>
            <w:r w:rsidRPr="00B11C0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1C02" w:rsidP="00B11C02">
            <w:pPr>
              <w:pStyle w:val="BodyText"/>
            </w:pPr>
          </w:p>
        </w:tc>
      </w:tr>
    </w:tbl>
    <w:p w:rsidR="00AC064F" w:rsidP="00B11C02">
      <w:pPr>
        <w:pStyle w:val="BodyText"/>
      </w:pPr>
    </w:p>
    <w:p w:rsidR="00AC064F" w:rsidP="00B11C02">
      <w:pPr>
        <w:pStyle w:val="BodyText"/>
      </w:pPr>
    </w:p>
    <w:p w:rsidR="00000000" w:rsidRPr="00B11C02" w:rsidP="00B11C02"/>
    <w:sectPr w:rsidSect="00B11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64F" w:rsidP="00AC06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4F" w:rsidP="00B11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C064F" w:rsidP="00B11C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064F" w:rsidP="00B11C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64F" w:rsidP="00AC06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64F" w:rsidP="00B11C02">
    <w:pPr>
      <w:pStyle w:val="Header"/>
      <w:framePr w:wrap="around"/>
    </w:pPr>
    <w:r>
      <w:fldChar w:fldCharType="begin"/>
    </w:r>
    <w:r>
      <w:instrText xml:space="preserve"> TITLE   \* MERGEFORMAT </w:instrText>
    </w:r>
    <w:r>
      <w:fldChar w:fldCharType="separate"/>
    </w:r>
    <w:r>
      <w:t>MTMPSR601A Benchmark to manage/improve enterprise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064F" w:rsidP="00B11C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4D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3E5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A61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1C02"/>
    <w:pPr>
      <w:spacing w:before="360" w:after="60"/>
      <w:outlineLvl w:val="0"/>
    </w:pPr>
    <w:rPr>
      <w:sz w:val="32"/>
    </w:rPr>
  </w:style>
  <w:style w:type="paragraph" w:styleId="Heading2">
    <w:name w:val="heading 2"/>
    <w:basedOn w:val="HeadingBase"/>
    <w:next w:val="BodyText"/>
    <w:link w:val="Heading2Char"/>
    <w:qFormat/>
    <w:rsid w:val="00B11C02"/>
    <w:pPr>
      <w:keepLines/>
      <w:spacing w:before="240" w:after="120"/>
      <w:outlineLvl w:val="1"/>
    </w:pPr>
    <w:rPr>
      <w:sz w:val="28"/>
      <w:szCs w:val="40"/>
    </w:rPr>
  </w:style>
  <w:style w:type="paragraph" w:styleId="Heading3">
    <w:name w:val="heading 3"/>
    <w:basedOn w:val="HeadingBase"/>
    <w:next w:val="BodyText"/>
    <w:link w:val="Heading3Char"/>
    <w:qFormat/>
    <w:rsid w:val="00B11C02"/>
    <w:pPr>
      <w:spacing w:before="180" w:after="120"/>
      <w:outlineLvl w:val="2"/>
    </w:pPr>
    <w:rPr>
      <w:spacing w:val="-10"/>
      <w:kern w:val="32"/>
    </w:rPr>
  </w:style>
  <w:style w:type="paragraph" w:styleId="Heading4">
    <w:name w:val="heading 4"/>
    <w:basedOn w:val="HeadingBase"/>
    <w:next w:val="BodyText"/>
    <w:link w:val="Heading4Char"/>
    <w:qFormat/>
    <w:rsid w:val="00B11C02"/>
    <w:pPr>
      <w:spacing w:before="160" w:after="120"/>
      <w:outlineLvl w:val="3"/>
    </w:pPr>
    <w:rPr>
      <w:sz w:val="22"/>
    </w:rPr>
  </w:style>
  <w:style w:type="paragraph" w:styleId="Heading5">
    <w:name w:val="heading 5"/>
    <w:basedOn w:val="HeadingBase"/>
    <w:next w:val="Normal"/>
    <w:link w:val="Heading5Char"/>
    <w:qFormat/>
    <w:rsid w:val="00B11C02"/>
    <w:pPr>
      <w:spacing w:before="80"/>
      <w:outlineLvl w:val="4"/>
    </w:pPr>
    <w:rPr>
      <w:color w:val="918585"/>
      <w:sz w:val="20"/>
    </w:rPr>
  </w:style>
  <w:style w:type="paragraph" w:styleId="Heading6">
    <w:name w:val="heading 6"/>
    <w:basedOn w:val="HeadingBase"/>
    <w:next w:val="Normal"/>
    <w:link w:val="Heading6Char"/>
    <w:qFormat/>
    <w:rsid w:val="00B11C02"/>
    <w:pPr>
      <w:spacing w:before="60"/>
      <w:outlineLvl w:val="5"/>
    </w:pPr>
    <w:rPr>
      <w:color w:val="918585"/>
      <w:sz w:val="20"/>
    </w:rPr>
  </w:style>
  <w:style w:type="paragraph" w:styleId="Heading7">
    <w:name w:val="heading 7"/>
    <w:basedOn w:val="Normal"/>
    <w:next w:val="Normal"/>
    <w:link w:val="Heading7Char"/>
    <w:qFormat/>
    <w:rsid w:val="00B11C02"/>
    <w:pPr>
      <w:ind w:left="720"/>
      <w:outlineLvl w:val="6"/>
    </w:pPr>
    <w:rPr>
      <w:i/>
    </w:rPr>
  </w:style>
  <w:style w:type="paragraph" w:styleId="Heading8">
    <w:name w:val="heading 8"/>
    <w:basedOn w:val="Normal"/>
    <w:next w:val="Normal"/>
    <w:link w:val="Heading8Char"/>
    <w:qFormat/>
    <w:rsid w:val="00B11C02"/>
    <w:pPr>
      <w:ind w:left="720"/>
      <w:outlineLvl w:val="7"/>
    </w:pPr>
    <w:rPr>
      <w:i/>
    </w:rPr>
  </w:style>
  <w:style w:type="paragraph" w:styleId="Heading9">
    <w:name w:val="heading 9"/>
    <w:basedOn w:val="Normal"/>
    <w:next w:val="Normal"/>
    <w:link w:val="Heading9Char"/>
    <w:qFormat/>
    <w:rsid w:val="00B11C02"/>
    <w:pPr>
      <w:ind w:left="720"/>
      <w:outlineLvl w:val="8"/>
    </w:pPr>
    <w:rPr>
      <w:i/>
    </w:rPr>
  </w:style>
  <w:style w:type="character" w:default="1" w:styleId="DefaultParagraphFont">
    <w:name w:val="Default Paragraph Font"/>
    <w:uiPriority w:val="1"/>
    <w:unhideWhenUsed/>
    <w:rsid w:val="00B11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C02"/>
  </w:style>
  <w:style w:type="character" w:customStyle="1" w:styleId="Heading1Char">
    <w:name w:val="Heading 1 Char"/>
    <w:basedOn w:val="DefaultParagraphFont"/>
    <w:link w:val="Heading1"/>
    <w:rsid w:val="00B11C02"/>
    <w:rPr>
      <w:rFonts w:ascii="Times New Roman" w:eastAsia="Times New Roman" w:hAnsi="Times New Roman" w:cs="Times New Roman"/>
      <w:b/>
      <w:sz w:val="32"/>
      <w:szCs w:val="20"/>
      <w:lang w:eastAsia="en-US"/>
    </w:rPr>
  </w:style>
  <w:style w:type="paragraph" w:styleId="BodyText">
    <w:name w:val="Body Text"/>
    <w:basedOn w:val="Normal"/>
    <w:link w:val="BodyTextChar"/>
    <w:rsid w:val="00B11C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1C02"/>
    <w:rPr>
      <w:rFonts w:ascii="Times New Roman" w:eastAsia="Times New Roman" w:hAnsi="Times New Roman" w:cs="Times New Roman"/>
      <w:sz w:val="24"/>
      <w:lang w:val="en-US" w:eastAsia="en-US"/>
    </w:rPr>
  </w:style>
  <w:style w:type="paragraph" w:styleId="Footer">
    <w:name w:val="footer"/>
    <w:basedOn w:val="Normal"/>
    <w:link w:val="FooterChar"/>
    <w:rsid w:val="00B11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C02"/>
    <w:rPr>
      <w:rFonts w:ascii="Times New Roman" w:eastAsia="Times New Roman" w:hAnsi="Times New Roman" w:cs="Times New Roman"/>
      <w:sz w:val="16"/>
      <w:lang w:val="en-US" w:eastAsia="en-US"/>
    </w:rPr>
  </w:style>
  <w:style w:type="paragraph" w:styleId="List">
    <w:name w:val="List"/>
    <w:basedOn w:val="BodyText"/>
    <w:next w:val="BodyText"/>
    <w:rsid w:val="00B11C02"/>
    <w:pPr>
      <w:tabs>
        <w:tab w:val="left" w:pos="340"/>
      </w:tabs>
      <w:spacing w:before="60" w:after="60"/>
      <w:ind w:left="340" w:hanging="340"/>
    </w:pPr>
  </w:style>
  <w:style w:type="paragraph" w:styleId="ListBullet">
    <w:name w:val="List Bullet"/>
    <w:basedOn w:val="List"/>
    <w:rsid w:val="00B11C02"/>
    <w:pPr>
      <w:numPr>
        <w:numId w:val="13"/>
      </w:numPr>
      <w:tabs>
        <w:tab w:val="clear" w:pos="340"/>
      </w:tabs>
      <w:spacing w:before="40" w:after="40"/>
    </w:pPr>
  </w:style>
  <w:style w:type="character" w:customStyle="1" w:styleId="SpecialBold">
    <w:name w:val="Special Bold"/>
    <w:basedOn w:val="DefaultParagraphFont"/>
    <w:rsid w:val="00B11C02"/>
    <w:rPr>
      <w:b/>
      <w:spacing w:val="0"/>
    </w:rPr>
  </w:style>
  <w:style w:type="paragraph" w:styleId="ListBullet2">
    <w:name w:val="List Bullet 2"/>
    <w:basedOn w:val="List2"/>
    <w:rsid w:val="00B11C02"/>
    <w:pPr>
      <w:numPr>
        <w:numId w:val="14"/>
      </w:numPr>
      <w:tabs>
        <w:tab w:val="clear" w:pos="680"/>
      </w:tabs>
    </w:pPr>
  </w:style>
  <w:style w:type="paragraph" w:styleId="Header">
    <w:name w:val="header"/>
    <w:basedOn w:val="Normal"/>
    <w:link w:val="HeaderChar"/>
    <w:rsid w:val="00B11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C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1C02"/>
    <w:pPr>
      <w:spacing w:before="240" w:after="120"/>
      <w:outlineLvl w:val="0"/>
    </w:pPr>
    <w:rPr>
      <w:rFonts w:ascii="Times New Roman" w:hAnsi="Times New Roman"/>
      <w:b/>
      <w:sz w:val="28"/>
    </w:rPr>
  </w:style>
  <w:style w:type="paragraph" w:customStyle="1" w:styleId="AllowPageBreak">
    <w:name w:val="AllowPageBreak"/>
    <w:rsid w:val="00B11C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1C02"/>
    <w:pPr>
      <w:tabs>
        <w:tab w:val="left" w:pos="680"/>
      </w:tabs>
      <w:spacing w:before="60" w:after="60"/>
      <w:ind w:left="680" w:hanging="340"/>
    </w:pPr>
  </w:style>
  <w:style w:type="character" w:customStyle="1" w:styleId="Underline">
    <w:name w:val="Underline"/>
    <w:basedOn w:val="DefaultParagraphFont"/>
    <w:qFormat/>
    <w:rsid w:val="00B11C02"/>
    <w:rPr>
      <w:u w:val="single"/>
    </w:rPr>
  </w:style>
  <w:style w:type="character" w:customStyle="1" w:styleId="BoldandItalics">
    <w:name w:val="Bold and Italics"/>
    <w:qFormat/>
    <w:rsid w:val="00B11C02"/>
    <w:rPr>
      <w:b/>
      <w:i/>
      <w:u w:val="none"/>
    </w:rPr>
  </w:style>
  <w:style w:type="character" w:customStyle="1" w:styleId="Heading2Char">
    <w:name w:val="Heading 2 Char"/>
    <w:basedOn w:val="DefaultParagraphFont"/>
    <w:link w:val="Heading2"/>
    <w:rsid w:val="00B11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C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1C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1C02"/>
    <w:rPr>
      <w:rFonts w:ascii="Courier New" w:eastAsia="Times New Roman" w:hAnsi="Courier New" w:cs="Times New Roman"/>
      <w:i/>
      <w:szCs w:val="20"/>
      <w:lang w:val="en-US" w:eastAsia="en-US"/>
    </w:rPr>
  </w:style>
  <w:style w:type="paragraph" w:customStyle="1" w:styleId="HeadingBase">
    <w:name w:val="Heading Base"/>
    <w:rsid w:val="00B11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C02"/>
    <w:pPr>
      <w:tabs>
        <w:tab w:val="right" w:leader="dot" w:pos="9072"/>
      </w:tabs>
      <w:ind w:left="567"/>
    </w:pPr>
    <w:rPr>
      <w:szCs w:val="22"/>
    </w:rPr>
  </w:style>
  <w:style w:type="paragraph" w:customStyle="1" w:styleId="TOCBase">
    <w:name w:val="TOC Base"/>
    <w:rsid w:val="00B11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C02"/>
    <w:pPr>
      <w:tabs>
        <w:tab w:val="right" w:leader="dot" w:pos="9072"/>
      </w:tabs>
      <w:spacing w:before="40" w:after="40"/>
      <w:ind w:left="284"/>
    </w:pPr>
    <w:rPr>
      <w:rFonts w:ascii="Times New Roman" w:hAnsi="Times New Roman"/>
    </w:rPr>
  </w:style>
  <w:style w:type="paragraph" w:styleId="TOC1">
    <w:name w:val="toc 1"/>
    <w:basedOn w:val="TOCBase"/>
    <w:next w:val="Normal"/>
    <w:rsid w:val="00B11C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1C02"/>
    <w:pPr>
      <w:spacing w:before="5040"/>
      <w:jc w:val="center"/>
    </w:pPr>
    <w:rPr>
      <w:sz w:val="48"/>
      <w:szCs w:val="72"/>
      <w:lang w:val="en-US"/>
    </w:rPr>
  </w:style>
  <w:style w:type="character" w:customStyle="1" w:styleId="TitleChar">
    <w:name w:val="Title Char"/>
    <w:basedOn w:val="DefaultParagraphFont"/>
    <w:link w:val="Title"/>
    <w:rsid w:val="00B11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C02"/>
    <w:pPr>
      <w:tabs>
        <w:tab w:val="left" w:pos="3600"/>
        <w:tab w:val="left" w:pos="3958"/>
      </w:tabs>
    </w:pPr>
  </w:style>
  <w:style w:type="paragraph" w:customStyle="1" w:styleId="Note">
    <w:name w:val="Note"/>
    <w:basedOn w:val="BodyText"/>
    <w:rsid w:val="00B11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1C02"/>
    <w:pPr>
      <w:framePr w:wrap="auto" w:hAnchor="text" w:y="6049"/>
    </w:pPr>
    <w:rPr>
      <w:color w:val="000000"/>
      <w:sz w:val="40"/>
    </w:rPr>
  </w:style>
  <w:style w:type="paragraph" w:customStyle="1" w:styleId="TOCTitle">
    <w:name w:val="TOCTitle"/>
    <w:basedOn w:val="Heading1"/>
    <w:rsid w:val="00B11C02"/>
    <w:pPr>
      <w:spacing w:after="240"/>
      <w:jc w:val="center"/>
      <w:outlineLvl w:val="9"/>
    </w:pPr>
    <w:rPr>
      <w:caps/>
    </w:rPr>
  </w:style>
  <w:style w:type="paragraph" w:customStyle="1" w:styleId="Version">
    <w:name w:val="Version"/>
    <w:rsid w:val="00B11C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1C02"/>
    <w:pPr>
      <w:keepNext w:val="0"/>
      <w:tabs>
        <w:tab w:val="right" w:pos="4176"/>
      </w:tabs>
      <w:ind w:left="198" w:hanging="198"/>
    </w:pPr>
    <w:rPr>
      <w:rFonts w:ascii="Garamond" w:hAnsi="Garamond"/>
    </w:rPr>
  </w:style>
  <w:style w:type="paragraph" w:styleId="IndexHeading">
    <w:name w:val="index heading"/>
    <w:basedOn w:val="Normal"/>
    <w:next w:val="Index1"/>
    <w:semiHidden/>
    <w:rsid w:val="00B11C02"/>
    <w:pPr>
      <w:spacing w:before="120" w:after="120"/>
    </w:pPr>
    <w:rPr>
      <w:rFonts w:ascii="Arial" w:hAnsi="Arial"/>
      <w:b/>
      <w:color w:val="918585"/>
      <w:sz w:val="24"/>
    </w:rPr>
  </w:style>
  <w:style w:type="paragraph" w:customStyle="1" w:styleId="Chapter">
    <w:name w:val="Chapter"/>
    <w:basedOn w:val="Normal"/>
    <w:rsid w:val="00B11C02"/>
    <w:pPr>
      <w:spacing w:before="240"/>
    </w:pPr>
    <w:rPr>
      <w:rFonts w:ascii="Times New Roman" w:hAnsi="Times New Roman"/>
      <w:smallCaps/>
      <w:spacing w:val="80"/>
      <w:sz w:val="28"/>
    </w:rPr>
  </w:style>
  <w:style w:type="paragraph" w:customStyle="1" w:styleId="InChapter">
    <w:name w:val="InChapter"/>
    <w:basedOn w:val="Heading3"/>
    <w:rsid w:val="00B11C02"/>
    <w:pPr>
      <w:spacing w:after="240"/>
      <w:outlineLvl w:val="9"/>
    </w:pPr>
    <w:rPr>
      <w:noProof/>
    </w:rPr>
  </w:style>
  <w:style w:type="paragraph" w:styleId="Index2">
    <w:name w:val="index 2"/>
    <w:basedOn w:val="Normal"/>
    <w:next w:val="Normal"/>
    <w:semiHidden/>
    <w:rsid w:val="00B11C02"/>
    <w:pPr>
      <w:tabs>
        <w:tab w:val="right" w:pos="4176"/>
      </w:tabs>
      <w:ind w:left="568" w:hanging="284"/>
    </w:pPr>
    <w:rPr>
      <w:rFonts w:ascii="Garamond" w:hAnsi="Garamond"/>
    </w:rPr>
  </w:style>
  <w:style w:type="paragraph" w:customStyle="1" w:styleId="Byline">
    <w:name w:val="Byline"/>
    <w:rsid w:val="00B11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C02"/>
    <w:pPr>
      <w:tabs>
        <w:tab w:val="clear" w:pos="3600"/>
        <w:tab w:val="clear" w:pos="3958"/>
      </w:tabs>
      <w:jc w:val="right"/>
    </w:pPr>
  </w:style>
  <w:style w:type="character" w:styleId="Emphasis">
    <w:name w:val="Emphasis"/>
    <w:basedOn w:val="DefaultParagraphFont"/>
    <w:qFormat/>
    <w:rsid w:val="00B11C02"/>
    <w:rPr>
      <w:i/>
    </w:rPr>
  </w:style>
  <w:style w:type="paragraph" w:styleId="Caption">
    <w:name w:val="caption"/>
    <w:basedOn w:val="BodyText"/>
    <w:next w:val="Normal"/>
    <w:qFormat/>
    <w:rsid w:val="00B11C02"/>
    <w:pPr>
      <w:framePr w:w="2268" w:hSpace="181" w:vSpace="181" w:wrap="around" w:vAnchor="text" w:hAnchor="page" w:x="1135" w:y="285" w:anchorLock="1"/>
    </w:pPr>
    <w:rPr>
      <w:i/>
    </w:rPr>
  </w:style>
  <w:style w:type="paragraph" w:customStyle="1" w:styleId="MiniTOCTitle">
    <w:name w:val="MiniTOCTitle"/>
    <w:basedOn w:val="Heading4"/>
    <w:rsid w:val="00B11C02"/>
    <w:pPr>
      <w:spacing w:before="240"/>
      <w:outlineLvl w:val="9"/>
    </w:pPr>
    <w:rPr>
      <w:noProof/>
      <w:sz w:val="24"/>
    </w:rPr>
  </w:style>
  <w:style w:type="paragraph" w:customStyle="1" w:styleId="MiniTOCItem">
    <w:name w:val="MiniTOCItem"/>
    <w:basedOn w:val="ListBullet"/>
    <w:rsid w:val="00B11C02"/>
    <w:pPr>
      <w:numPr>
        <w:numId w:val="0"/>
      </w:numPr>
      <w:tabs>
        <w:tab w:val="right" w:leader="dot" w:pos="6521"/>
      </w:tabs>
      <w:spacing w:before="0" w:after="0"/>
    </w:pPr>
  </w:style>
  <w:style w:type="paragraph" w:customStyle="1" w:styleId="TOFTitle">
    <w:name w:val="TOFTitle"/>
    <w:basedOn w:val="TOCTitle"/>
    <w:rsid w:val="00B11C02"/>
  </w:style>
  <w:style w:type="paragraph" w:styleId="TableofFigures">
    <w:name w:val="table of figures"/>
    <w:basedOn w:val="Normal"/>
    <w:next w:val="Normal"/>
    <w:semiHidden/>
    <w:rsid w:val="00B11C02"/>
    <w:pPr>
      <w:tabs>
        <w:tab w:val="right" w:leader="dot" w:pos="9072"/>
      </w:tabs>
      <w:ind w:left="970" w:hanging="403"/>
    </w:pPr>
    <w:rPr>
      <w:rFonts w:ascii="Times New Roman" w:hAnsi="Times New Roman"/>
      <w:b/>
    </w:rPr>
  </w:style>
  <w:style w:type="paragraph" w:styleId="ListNumber">
    <w:name w:val="List Number"/>
    <w:basedOn w:val="List"/>
    <w:rsid w:val="00B11C02"/>
    <w:pPr>
      <w:numPr>
        <w:numId w:val="11"/>
      </w:numPr>
    </w:pPr>
  </w:style>
  <w:style w:type="character" w:customStyle="1" w:styleId="WingdingSymbols">
    <w:name w:val="Wingding Symbols"/>
    <w:rsid w:val="00B11C02"/>
    <w:rPr>
      <w:rFonts w:ascii="Wingdings" w:hAnsi="Wingdings"/>
    </w:rPr>
  </w:style>
  <w:style w:type="paragraph" w:customStyle="1" w:styleId="TableHeading">
    <w:name w:val="Table Heading"/>
    <w:basedOn w:val="HeadingBase"/>
    <w:rsid w:val="00B11C02"/>
    <w:pPr>
      <w:keepLines/>
      <w:pBdr>
        <w:bottom w:val="single" w:sz="6" w:space="1" w:color="918585"/>
      </w:pBdr>
      <w:spacing w:before="240"/>
    </w:pPr>
  </w:style>
  <w:style w:type="character" w:customStyle="1" w:styleId="HotSpot">
    <w:name w:val="HotSpot"/>
    <w:rsid w:val="00B11C02"/>
    <w:rPr>
      <w:color w:val="0033CC"/>
      <w:u w:val="none"/>
    </w:rPr>
  </w:style>
  <w:style w:type="paragraph" w:customStyle="1" w:styleId="BodyTextRight">
    <w:name w:val="Body Text Right"/>
    <w:basedOn w:val="BodyText"/>
    <w:rsid w:val="00B11C02"/>
    <w:pPr>
      <w:spacing w:before="0" w:after="0"/>
      <w:jc w:val="right"/>
    </w:pPr>
  </w:style>
  <w:style w:type="paragraph" w:styleId="Index3">
    <w:name w:val="index 3"/>
    <w:basedOn w:val="ListNumber2"/>
    <w:next w:val="Normal"/>
    <w:semiHidden/>
    <w:rsid w:val="00B11C02"/>
    <w:pPr>
      <w:numPr>
        <w:numId w:val="0"/>
      </w:numPr>
      <w:tabs>
        <w:tab w:val="right" w:leader="dot" w:pos="4176"/>
      </w:tabs>
    </w:pPr>
  </w:style>
  <w:style w:type="paragraph" w:styleId="ListNumber2">
    <w:name w:val="List Number 2"/>
    <w:basedOn w:val="List2"/>
    <w:rsid w:val="00B11C02"/>
    <w:pPr>
      <w:numPr>
        <w:numId w:val="10"/>
      </w:numPr>
      <w:tabs>
        <w:tab w:val="clear" w:pos="1060"/>
      </w:tabs>
    </w:pPr>
  </w:style>
  <w:style w:type="paragraph" w:customStyle="1" w:styleId="MarginNote">
    <w:name w:val="Margin Note"/>
    <w:basedOn w:val="BodyText"/>
    <w:rsid w:val="00B11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C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1C02"/>
    <w:rPr>
      <w:sz w:val="32"/>
    </w:rPr>
  </w:style>
  <w:style w:type="paragraph" w:customStyle="1" w:styleId="HeadingProcedure">
    <w:name w:val="Heading Procedure"/>
    <w:basedOn w:val="HeadingBase"/>
    <w:next w:val="Normal"/>
    <w:rsid w:val="00B11C02"/>
    <w:pPr>
      <w:tabs>
        <w:tab w:val="left" w:pos="0"/>
      </w:tabs>
      <w:spacing w:before="120" w:after="60"/>
    </w:pPr>
    <w:rPr>
      <w:i/>
      <w:color w:val="918585"/>
      <w:sz w:val="22"/>
    </w:rPr>
  </w:style>
  <w:style w:type="paragraph" w:customStyle="1" w:styleId="TableBodyText">
    <w:name w:val="Table Body Text"/>
    <w:basedOn w:val="BodyText"/>
    <w:rsid w:val="00B11C02"/>
    <w:pPr>
      <w:spacing w:before="60" w:after="60"/>
    </w:pPr>
  </w:style>
  <w:style w:type="paragraph" w:styleId="ListContinue">
    <w:name w:val="List Continue"/>
    <w:basedOn w:val="List"/>
    <w:rsid w:val="00B11C02"/>
    <w:pPr>
      <w:ind w:firstLine="0"/>
    </w:pPr>
  </w:style>
  <w:style w:type="paragraph" w:customStyle="1" w:styleId="ListNote">
    <w:name w:val="List Note"/>
    <w:basedOn w:val="List"/>
    <w:rsid w:val="00B11C02"/>
    <w:pPr>
      <w:pBdr>
        <w:top w:val="single" w:sz="6" w:space="2" w:color="918585"/>
        <w:bottom w:val="single" w:sz="6" w:space="2" w:color="918585"/>
      </w:pBdr>
      <w:tabs>
        <w:tab w:val="left" w:pos="1021"/>
      </w:tabs>
      <w:ind w:firstLine="0"/>
    </w:pPr>
  </w:style>
  <w:style w:type="paragraph" w:customStyle="1" w:styleId="Warning">
    <w:name w:val="Warning"/>
    <w:basedOn w:val="BodyText"/>
    <w:rsid w:val="00B11C02"/>
    <w:pPr>
      <w:shd w:val="clear" w:color="auto" w:fill="D9D9D9"/>
      <w:tabs>
        <w:tab w:val="left" w:pos="992"/>
      </w:tabs>
      <w:ind w:left="119" w:right="119"/>
    </w:pPr>
    <w:rPr>
      <w:sz w:val="20"/>
    </w:rPr>
  </w:style>
  <w:style w:type="paragraph" w:customStyle="1" w:styleId="MarginIcons">
    <w:name w:val="Margin Icons"/>
    <w:basedOn w:val="BodyText"/>
    <w:rsid w:val="00B11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C02"/>
    <w:rPr>
      <w:rFonts w:ascii="Courier New" w:hAnsi="Courier New"/>
    </w:rPr>
  </w:style>
  <w:style w:type="paragraph" w:customStyle="1" w:styleId="NoteBullet">
    <w:name w:val="Note Bullet"/>
    <w:basedOn w:val="Note"/>
    <w:rsid w:val="00B11C02"/>
    <w:pPr>
      <w:tabs>
        <w:tab w:val="clear" w:pos="680"/>
      </w:tabs>
      <w:spacing w:before="60" w:after="60"/>
    </w:pPr>
  </w:style>
  <w:style w:type="paragraph" w:customStyle="1" w:styleId="SubHeading2">
    <w:name w:val="SubHeading2"/>
    <w:basedOn w:val="HeadingBase"/>
    <w:rsid w:val="00B11C02"/>
    <w:pPr>
      <w:spacing w:before="240" w:after="60"/>
    </w:pPr>
    <w:rPr>
      <w:sz w:val="20"/>
    </w:rPr>
  </w:style>
  <w:style w:type="paragraph" w:customStyle="1" w:styleId="SubHeading1">
    <w:name w:val="SubHeading1"/>
    <w:basedOn w:val="HeadingBase"/>
    <w:rsid w:val="00B11C02"/>
    <w:pPr>
      <w:spacing w:before="240" w:after="60"/>
    </w:pPr>
    <w:rPr>
      <w:color w:val="918585"/>
      <w:sz w:val="22"/>
    </w:rPr>
  </w:style>
  <w:style w:type="paragraph" w:customStyle="1" w:styleId="SideHeading">
    <w:name w:val="Side Heading"/>
    <w:basedOn w:val="HeadingBase"/>
    <w:rsid w:val="00B11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C02"/>
    <w:pPr>
      <w:numPr>
        <w:numId w:val="12"/>
      </w:numPr>
    </w:pPr>
  </w:style>
  <w:style w:type="paragraph" w:styleId="PlainText">
    <w:name w:val="Plain Text"/>
    <w:basedOn w:val="Normal"/>
    <w:link w:val="PlainTextChar"/>
    <w:rsid w:val="00B11C02"/>
    <w:rPr>
      <w:sz w:val="20"/>
    </w:rPr>
  </w:style>
  <w:style w:type="character" w:customStyle="1" w:styleId="PlainTextChar">
    <w:name w:val="Plain Text Char"/>
    <w:basedOn w:val="DefaultParagraphFont"/>
    <w:link w:val="PlainText"/>
    <w:rsid w:val="00B11C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1C02"/>
    <w:rPr>
      <w:b/>
      <w:smallCaps/>
    </w:rPr>
  </w:style>
  <w:style w:type="paragraph" w:customStyle="1" w:styleId="TableListNumber">
    <w:name w:val="Table List Number"/>
    <w:basedOn w:val="ListNumber"/>
    <w:rsid w:val="00B11C02"/>
    <w:pPr>
      <w:numPr>
        <w:numId w:val="0"/>
      </w:numPr>
    </w:pPr>
  </w:style>
  <w:style w:type="paragraph" w:styleId="TOC4">
    <w:name w:val="toc 4"/>
    <w:basedOn w:val="TOCBase"/>
    <w:next w:val="Normal"/>
    <w:semiHidden/>
    <w:rsid w:val="00B11C02"/>
    <w:pPr>
      <w:tabs>
        <w:tab w:val="right" w:leader="dot" w:pos="9071"/>
      </w:tabs>
      <w:ind w:left="1701"/>
    </w:pPr>
  </w:style>
  <w:style w:type="paragraph" w:customStyle="1" w:styleId="ListAlpha">
    <w:name w:val="List Alpha"/>
    <w:basedOn w:val="List"/>
    <w:rsid w:val="00B11C02"/>
    <w:pPr>
      <w:numPr>
        <w:numId w:val="9"/>
      </w:numPr>
    </w:pPr>
  </w:style>
  <w:style w:type="paragraph" w:customStyle="1" w:styleId="ListAlpha2">
    <w:name w:val="List Alpha 2"/>
    <w:basedOn w:val="List2"/>
    <w:rsid w:val="00B11C02"/>
    <w:pPr>
      <w:numPr>
        <w:numId w:val="8"/>
      </w:numPr>
    </w:pPr>
  </w:style>
  <w:style w:type="paragraph" w:styleId="List3">
    <w:name w:val="List 3"/>
    <w:basedOn w:val="BodyText"/>
    <w:rsid w:val="00B11C02"/>
    <w:pPr>
      <w:tabs>
        <w:tab w:val="left" w:pos="1021"/>
      </w:tabs>
      <w:spacing w:before="60" w:after="60"/>
      <w:ind w:left="1020" w:hanging="340"/>
    </w:pPr>
  </w:style>
  <w:style w:type="paragraph" w:styleId="List4">
    <w:name w:val="List 4"/>
    <w:basedOn w:val="BodyText"/>
    <w:rsid w:val="00B11C02"/>
    <w:pPr>
      <w:tabs>
        <w:tab w:val="left" w:pos="1361"/>
      </w:tabs>
      <w:spacing w:before="60" w:after="60"/>
      <w:ind w:left="1361" w:hanging="340"/>
    </w:pPr>
  </w:style>
  <w:style w:type="paragraph" w:styleId="List5">
    <w:name w:val="List 5"/>
    <w:basedOn w:val="BodyText"/>
    <w:rsid w:val="00B11C02"/>
    <w:pPr>
      <w:tabs>
        <w:tab w:val="left" w:pos="1701"/>
      </w:tabs>
      <w:spacing w:before="60" w:after="60"/>
      <w:ind w:left="1701" w:hanging="340"/>
    </w:pPr>
  </w:style>
  <w:style w:type="paragraph" w:styleId="ListBullet3">
    <w:name w:val="List Bullet 3"/>
    <w:basedOn w:val="List3"/>
    <w:rsid w:val="00B11C02"/>
    <w:pPr>
      <w:numPr>
        <w:numId w:val="15"/>
      </w:numPr>
      <w:tabs>
        <w:tab w:val="clear" w:pos="1021"/>
      </w:tabs>
      <w:ind w:left="1037" w:hanging="357"/>
    </w:pPr>
  </w:style>
  <w:style w:type="paragraph" w:styleId="ListBullet4">
    <w:name w:val="List Bullet 4"/>
    <w:basedOn w:val="List4"/>
    <w:rsid w:val="00B11C02"/>
    <w:pPr>
      <w:numPr>
        <w:numId w:val="3"/>
      </w:numPr>
    </w:pPr>
  </w:style>
  <w:style w:type="paragraph" w:styleId="ListBullet5">
    <w:name w:val="List Bullet 5"/>
    <w:basedOn w:val="List5"/>
    <w:rsid w:val="00B11C02"/>
    <w:pPr>
      <w:numPr>
        <w:numId w:val="4"/>
      </w:numPr>
    </w:pPr>
  </w:style>
  <w:style w:type="paragraph" w:styleId="ListContinue2">
    <w:name w:val="List Continue 2"/>
    <w:basedOn w:val="List2"/>
    <w:rsid w:val="00B11C02"/>
    <w:pPr>
      <w:ind w:firstLine="0"/>
    </w:pPr>
  </w:style>
  <w:style w:type="paragraph" w:styleId="ListContinue3">
    <w:name w:val="List Continue 3"/>
    <w:basedOn w:val="List3"/>
    <w:rsid w:val="00B11C02"/>
    <w:pPr>
      <w:ind w:left="1021" w:firstLine="0"/>
    </w:pPr>
  </w:style>
  <w:style w:type="paragraph" w:styleId="ListContinue4">
    <w:name w:val="List Continue 4"/>
    <w:basedOn w:val="List4"/>
    <w:rsid w:val="00B11C02"/>
    <w:pPr>
      <w:ind w:firstLine="0"/>
    </w:pPr>
  </w:style>
  <w:style w:type="paragraph" w:styleId="ListContinue5">
    <w:name w:val="List Continue 5"/>
    <w:basedOn w:val="List5"/>
    <w:rsid w:val="00B11C02"/>
    <w:pPr>
      <w:ind w:firstLine="0"/>
    </w:pPr>
  </w:style>
  <w:style w:type="paragraph" w:styleId="ListNumber3">
    <w:name w:val="List Number 3"/>
    <w:basedOn w:val="List3"/>
    <w:rsid w:val="00B11C02"/>
    <w:pPr>
      <w:numPr>
        <w:numId w:val="5"/>
      </w:numPr>
    </w:pPr>
  </w:style>
  <w:style w:type="paragraph" w:styleId="ListNumber4">
    <w:name w:val="List Number 4"/>
    <w:basedOn w:val="List4"/>
    <w:rsid w:val="00B11C02"/>
    <w:pPr>
      <w:numPr>
        <w:numId w:val="6"/>
      </w:numPr>
    </w:pPr>
  </w:style>
  <w:style w:type="paragraph" w:styleId="ListNumber5">
    <w:name w:val="List Number 5"/>
    <w:basedOn w:val="List5"/>
    <w:rsid w:val="00B11C02"/>
    <w:pPr>
      <w:numPr>
        <w:numId w:val="7"/>
      </w:numPr>
    </w:pPr>
  </w:style>
  <w:style w:type="paragraph" w:styleId="BlockText">
    <w:name w:val="Block Text"/>
    <w:basedOn w:val="Normal"/>
    <w:rsid w:val="00B11C02"/>
    <w:pPr>
      <w:spacing w:after="120"/>
      <w:ind w:left="1440" w:right="1440"/>
    </w:pPr>
  </w:style>
  <w:style w:type="character" w:customStyle="1" w:styleId="Subscript">
    <w:name w:val="Subscript"/>
    <w:basedOn w:val="DefaultParagraphFont"/>
    <w:rsid w:val="00B11C02"/>
    <w:rPr>
      <w:sz w:val="16"/>
      <w:vertAlign w:val="subscript"/>
    </w:rPr>
  </w:style>
  <w:style w:type="character" w:customStyle="1" w:styleId="Superscript">
    <w:name w:val="Superscript"/>
    <w:basedOn w:val="DefaultParagraphFont"/>
    <w:rsid w:val="00B11C02"/>
    <w:rPr>
      <w:sz w:val="16"/>
      <w:vertAlign w:val="superscript"/>
    </w:rPr>
  </w:style>
  <w:style w:type="character" w:customStyle="1" w:styleId="Symbols">
    <w:name w:val="Symbols"/>
    <w:basedOn w:val="DefaultParagraphFont"/>
    <w:rsid w:val="00B11C02"/>
    <w:rPr>
      <w:rFonts w:ascii="Symbol" w:hAnsi="Symbol"/>
    </w:rPr>
  </w:style>
  <w:style w:type="character" w:customStyle="1" w:styleId="MenuOptions">
    <w:name w:val="Menu Options"/>
    <w:basedOn w:val="DefaultParagraphFont"/>
    <w:rsid w:val="00B11C02"/>
    <w:rPr>
      <w:rFonts w:ascii="Arial Narrow" w:hAnsi="Arial Narrow"/>
      <w:smallCaps/>
    </w:rPr>
  </w:style>
  <w:style w:type="character" w:customStyle="1" w:styleId="Buttons">
    <w:name w:val="Buttons"/>
    <w:basedOn w:val="DefaultParagraphFont"/>
    <w:rsid w:val="00B11C02"/>
    <w:rPr>
      <w:b/>
    </w:rPr>
  </w:style>
  <w:style w:type="character" w:customStyle="1" w:styleId="Underlined">
    <w:name w:val="Underlined"/>
    <w:basedOn w:val="DefaultParagraphFont"/>
    <w:rsid w:val="00B11C02"/>
    <w:rPr>
      <w:u w:val="single"/>
    </w:rPr>
  </w:style>
  <w:style w:type="paragraph" w:customStyle="1" w:styleId="TableBodyTextRight">
    <w:name w:val="Table Body Text Right"/>
    <w:basedOn w:val="TableBodyText"/>
    <w:rsid w:val="00B11C02"/>
    <w:pPr>
      <w:widowControl w:val="0"/>
      <w:autoSpaceDE w:val="0"/>
      <w:autoSpaceDN w:val="0"/>
      <w:adjustRightInd w:val="0"/>
      <w:jc w:val="right"/>
    </w:pPr>
    <w:rPr>
      <w:rFonts w:cs="Arial"/>
      <w:szCs w:val="18"/>
    </w:rPr>
  </w:style>
  <w:style w:type="paragraph" w:customStyle="1" w:styleId="CopyrightText">
    <w:name w:val="Copyright Text"/>
    <w:basedOn w:val="BodyText"/>
    <w:rsid w:val="00B11C02"/>
    <w:rPr>
      <w:sz w:val="18"/>
    </w:rPr>
  </w:style>
  <w:style w:type="paragraph" w:customStyle="1" w:styleId="BodySmallRight">
    <w:name w:val="Body Small Right"/>
    <w:basedOn w:val="BodyTextRight"/>
    <w:rsid w:val="00B11C02"/>
    <w:rPr>
      <w:sz w:val="18"/>
      <w:szCs w:val="18"/>
    </w:rPr>
  </w:style>
  <w:style w:type="paragraph" w:customStyle="1" w:styleId="MarginEdition">
    <w:name w:val="Margin Edition"/>
    <w:basedOn w:val="MarginNote"/>
    <w:rsid w:val="00B11C02"/>
    <w:pPr>
      <w:spacing w:before="0" w:after="0"/>
    </w:pPr>
    <w:rPr>
      <w:rFonts w:ascii="Times New Roman" w:hAnsi="Times New Roman"/>
      <w:color w:val="999999"/>
    </w:rPr>
  </w:style>
  <w:style w:type="paragraph" w:customStyle="1" w:styleId="Spacer">
    <w:name w:val="Spacer"/>
    <w:basedOn w:val="Normal"/>
    <w:rsid w:val="00B11C02"/>
    <w:rPr>
      <w:sz w:val="2"/>
      <w:szCs w:val="2"/>
    </w:rPr>
  </w:style>
  <w:style w:type="character" w:customStyle="1" w:styleId="Small">
    <w:name w:val="Small"/>
    <w:basedOn w:val="DefaultParagraphFont"/>
    <w:rsid w:val="00B11C02"/>
    <w:rPr>
      <w:sz w:val="16"/>
    </w:rPr>
  </w:style>
  <w:style w:type="paragraph" w:customStyle="1" w:styleId="WideTable">
    <w:name w:val="Wide Table"/>
    <w:basedOn w:val="Normal"/>
    <w:rsid w:val="00B11C02"/>
    <w:pPr>
      <w:ind w:left="-1418"/>
    </w:pPr>
    <w:rPr>
      <w:sz w:val="2"/>
      <w:szCs w:val="2"/>
    </w:rPr>
  </w:style>
  <w:style w:type="character" w:styleId="PageNumber">
    <w:name w:val="page number"/>
    <w:basedOn w:val="DefaultParagraphFont"/>
    <w:rsid w:val="00B11C02"/>
  </w:style>
  <w:style w:type="paragraph" w:styleId="Quote">
    <w:name w:val="Quote"/>
    <w:basedOn w:val="Heading1"/>
    <w:link w:val="QuoteChar"/>
    <w:qFormat/>
    <w:rsid w:val="00B11C02"/>
    <w:rPr>
      <w:b w:val="0"/>
      <w:sz w:val="72"/>
      <w:szCs w:val="72"/>
      <w:lang w:val="en-NZ"/>
    </w:rPr>
  </w:style>
  <w:style w:type="character" w:customStyle="1" w:styleId="QuoteChar">
    <w:name w:val="Quote Char"/>
    <w:basedOn w:val="DefaultParagraphFont"/>
    <w:link w:val="Quote"/>
    <w:rsid w:val="00B11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C02"/>
    <w:pPr>
      <w:pageBreakBefore/>
    </w:pPr>
  </w:style>
  <w:style w:type="paragraph" w:customStyle="1" w:styleId="Border">
    <w:name w:val="Border"/>
    <w:basedOn w:val="Normal"/>
    <w:qFormat/>
    <w:rsid w:val="00B11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C02"/>
    <w:rPr>
      <w:b/>
      <w:bCs/>
      <w:i/>
      <w:iCs/>
      <w:color w:val="auto"/>
    </w:rPr>
  </w:style>
  <w:style w:type="paragraph" w:styleId="IntenseQuote">
    <w:name w:val="Intense Quote"/>
    <w:basedOn w:val="Normal"/>
    <w:next w:val="Normal"/>
    <w:link w:val="IntenseQuoteChar"/>
    <w:uiPriority w:val="30"/>
    <w:qFormat/>
    <w:rsid w:val="00B11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C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1C02"/>
    <w:rPr>
      <w:smallCaps/>
      <w:color w:val="auto"/>
      <w:u w:val="single"/>
    </w:rPr>
  </w:style>
  <w:style w:type="character" w:styleId="IntenseReference">
    <w:name w:val="Intense Reference"/>
    <w:basedOn w:val="DefaultParagraphFont"/>
    <w:uiPriority w:val="32"/>
    <w:qFormat/>
    <w:rsid w:val="00B11C02"/>
    <w:rPr>
      <w:b/>
      <w:bCs/>
      <w:smallCaps/>
      <w:color w:val="auto"/>
      <w:spacing w:val="5"/>
      <w:u w:val="single"/>
    </w:rPr>
  </w:style>
  <w:style w:type="paragraph" w:customStyle="1" w:styleId="2ColumnHeading">
    <w:name w:val="2Column Heading"/>
    <w:basedOn w:val="BodyText"/>
    <w:qFormat/>
    <w:rsid w:val="00B11C02"/>
    <w:pPr>
      <w:spacing w:after="60"/>
      <w:ind w:left="-2268"/>
    </w:pPr>
    <w:rPr>
      <w:b/>
    </w:rPr>
  </w:style>
  <w:style w:type="paragraph" w:customStyle="1" w:styleId="Heading1TOC">
    <w:name w:val="Heading1 TOC"/>
    <w:basedOn w:val="Normal"/>
    <w:qFormat/>
    <w:rsid w:val="00B11C02"/>
    <w:pPr>
      <w:spacing w:before="240" w:after="120"/>
    </w:pPr>
    <w:rPr>
      <w:rFonts w:ascii="Times New Roman" w:hAnsi="Times New Roman"/>
      <w:b/>
      <w:sz w:val="32"/>
    </w:rPr>
  </w:style>
  <w:style w:type="paragraph" w:customStyle="1" w:styleId="Heading2TOC">
    <w:name w:val="Heading2 TOC"/>
    <w:basedOn w:val="Normal"/>
    <w:qFormat/>
    <w:rsid w:val="00B11C02"/>
    <w:pPr>
      <w:spacing w:before="240" w:after="60"/>
    </w:pPr>
    <w:rPr>
      <w:rFonts w:ascii="Times New Roman" w:hAnsi="Times New Roman"/>
      <w:b/>
      <w:sz w:val="28"/>
    </w:rPr>
  </w:style>
  <w:style w:type="paragraph" w:styleId="BalloonText">
    <w:name w:val="Balloon Text"/>
    <w:basedOn w:val="Normal"/>
    <w:link w:val="BalloonTextChar"/>
    <w:rsid w:val="00B11C02"/>
    <w:rPr>
      <w:rFonts w:ascii="Tahoma" w:hAnsi="Tahoma" w:cs="Tahoma"/>
      <w:sz w:val="16"/>
      <w:szCs w:val="16"/>
    </w:rPr>
  </w:style>
  <w:style w:type="character" w:customStyle="1" w:styleId="BalloonTextChar">
    <w:name w:val="Balloon Text Char"/>
    <w:basedOn w:val="DefaultParagraphFont"/>
    <w:link w:val="BalloonText"/>
    <w:rsid w:val="00B11C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1C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1C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1916</Words>
  <Characters>12936</Characters>
  <Application>Microsoft Office Word</Application>
  <DocSecurity>0</DocSecurity>
  <Lines>421</Lines>
  <Paragraphs>193</Paragraphs>
  <ScaleCrop>false</ScaleCrop>
  <Company>Author-it Software Corporation Ltd.</Company>
  <LinksUpToDate>false</LinksUpToDate>
  <CharactersWithSpaces>14773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MTMPSR601A Benchmark to manage/improve enterprise performance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2012-05-26T18:57:00Z</dcterms:created>
  <dcterms:modified xsi:type="dcterms:W3CDTF">2012-05-26T18:57:00Z</dcterms:modified>
</cp:coreProperties>
</file>