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110" w:rsidP="00942110">
      <w:pPr>
        <w:pStyle w:val="Title"/>
      </w:pPr>
      <w:r>
        <w:fldChar w:fldCharType="begin"/>
      </w:r>
      <w:r>
        <w:instrText xml:space="preserve"> TITLE   \* MERGEFORMAT </w:instrText>
      </w:r>
      <w:r>
        <w:fldChar w:fldCharType="separate"/>
      </w:r>
      <w:r>
        <w:t>MTMP405B Conduct and validate pH/temperature declines to Meat Standards Australia standards</w:t>
      </w:r>
      <w:r>
        <w:fldChar w:fldCharType="end"/>
      </w:r>
    </w:p>
    <w:p w:rsidR="00942110" w:rsidP="00942110">
      <w:pPr>
        <w:pStyle w:val="Version"/>
        <w:sectPr w:rsidSect="00DE2C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C32" w:rsidP="00DE2C32">
      <w:pPr>
        <w:pStyle w:val="SuperHeading"/>
      </w:pPr>
      <w:r w:rsidRPr="00DE2C32">
        <w:t>MTMP405B Conduct and validate pH/temperature declines to Meat Standards Australia standards</w:t>
      </w:r>
    </w:p>
    <w:p w:rsidR="00000000" w:rsidRPr="00DE2C32" w:rsidP="00DE2C32">
      <w:pPr>
        <w:pStyle w:val="Heading1"/>
      </w:pPr>
      <w:bookmarkStart w:id="1" w:name="O_335629"/>
      <w:bookmarkEnd w:id="1"/>
      <w:r w:rsidRPr="00DE2C32">
        <w:t>Modification History</w:t>
      </w:r>
    </w:p>
    <w:p w:rsidR="00000000" w:rsidRPr="00DE2C32" w:rsidP="00DE2C32">
      <w:pPr>
        <w:pStyle w:val="BodyText"/>
      </w:pPr>
      <w:r w:rsidRPr="00DE2C32">
        <w:t>Not applicable.</w:t>
      </w:r>
    </w:p>
    <w:p w:rsidR="00000000" w:rsidRPr="00DE2C32" w:rsidP="00DE2C32">
      <w:pPr>
        <w:pStyle w:val="AllowPageBreak"/>
      </w:pPr>
    </w:p>
    <w:p w:rsidR="00000000" w:rsidRPr="00DE2C32" w:rsidP="00DE2C32">
      <w:pPr>
        <w:pStyle w:val="Heading1"/>
      </w:pPr>
      <w:bookmarkStart w:id="2" w:name="O_335627"/>
      <w:bookmarkEnd w:id="2"/>
      <w:r w:rsidRPr="00DE2C32">
        <w:t>Unit Descriptor</w:t>
      </w:r>
    </w:p>
    <w:tbl>
      <w:tblPr>
        <w:tblW w:w="0" w:type="auto"/>
        <w:tblLayout w:type="fixed"/>
        <w:tblCellMar>
          <w:left w:w="62" w:type="dxa"/>
          <w:right w:w="62" w:type="dxa"/>
        </w:tblCellMar>
        <w:tblLook w:val="0000"/>
      </w:tblPr>
      <w:tblGrid>
        <w:gridCol w:w="2669"/>
        <w:gridCol w:w="5853"/>
      </w:tblGrid>
      <w:tr w:rsidTr="00942110">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BodyText"/>
            </w:pPr>
            <w:r w:rsidRPr="00DE2C32">
              <w:t>This unit covers the skills and knowledge required to accurately calibrate and maintain pH equipment, conduct pH and temperature declines and weekly monitoring, as well as to validate results to ensure conformance to the pH and temperature window.</w:t>
            </w:r>
          </w:p>
          <w:p w:rsidR="00000000" w:rsidRPr="00DE2C32" w:rsidP="00DE2C32">
            <w:pPr>
              <w:pStyle w:val="BodyText"/>
            </w:pPr>
          </w:p>
          <w:p w:rsidR="00000000" w:rsidRPr="00DE2C32" w:rsidP="00DE2C32">
            <w:pPr>
              <w:pStyle w:val="BodyText"/>
            </w:pPr>
            <w:r w:rsidRPr="00DE2C32">
              <w:t>It is a</w:t>
            </w:r>
            <w:r w:rsidRPr="00DE2C32">
              <w:t xml:space="preserve"> licence requirement for Meat Standards Australia (MSA) enterprises to achieve the pH and temperature window.</w:t>
            </w:r>
          </w:p>
        </w:tc>
      </w:tr>
    </w:tbl>
    <w:p w:rsidR="00942110" w:rsidP="00DE2C32">
      <w:pPr>
        <w:pStyle w:val="BodyText"/>
      </w:pPr>
    </w:p>
    <w:p w:rsidR="00942110" w:rsidP="00DE2C32">
      <w:pPr>
        <w:pStyle w:val="BodyText"/>
      </w:pPr>
    </w:p>
    <w:p w:rsidR="00000000" w:rsidRPr="00DE2C32" w:rsidP="00DE2C32">
      <w:pPr>
        <w:pStyle w:val="Heading1"/>
      </w:pPr>
      <w:bookmarkStart w:id="3" w:name="O_335615"/>
      <w:bookmarkEnd w:id="3"/>
      <w:r w:rsidRPr="00DE2C32">
        <w:t>Application of the Unit</w:t>
      </w:r>
    </w:p>
    <w:tbl>
      <w:tblPr>
        <w:tblW w:w="0" w:type="auto"/>
        <w:tblLayout w:type="fixed"/>
        <w:tblCellMar>
          <w:left w:w="62" w:type="dxa"/>
          <w:right w:w="62" w:type="dxa"/>
        </w:tblCellMar>
        <w:tblLook w:val="0000"/>
      </w:tblPr>
      <w:tblGrid>
        <w:gridCol w:w="2755"/>
        <w:gridCol w:w="5767"/>
      </w:tblGrid>
      <w:tr w:rsidTr="0094211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BodyText"/>
            </w:pPr>
            <w:r w:rsidRPr="00DE2C32">
              <w:t xml:space="preserve">The skills and knowledge gained from this unit allow operatives to monitor pH </w:t>
            </w:r>
            <w:r w:rsidRPr="00DE2C32">
              <w:t>or temperature window to AUS-MEAT and MSA standards. This unit is suitable for people working in Quality Assurance (QA) or a company grading role.</w:t>
            </w:r>
          </w:p>
        </w:tc>
      </w:tr>
    </w:tbl>
    <w:p w:rsidR="00942110" w:rsidP="00DE2C32">
      <w:pPr>
        <w:pStyle w:val="BodyText"/>
      </w:pPr>
    </w:p>
    <w:p w:rsidR="00942110" w:rsidP="00DE2C32">
      <w:pPr>
        <w:pStyle w:val="BodyText"/>
      </w:pPr>
    </w:p>
    <w:p w:rsidR="00000000" w:rsidRPr="00DE2C32" w:rsidP="00DE2C32">
      <w:pPr>
        <w:pStyle w:val="Heading1"/>
      </w:pPr>
      <w:bookmarkStart w:id="4" w:name="O_335623"/>
      <w:bookmarkEnd w:id="4"/>
      <w:r w:rsidRPr="00DE2C32">
        <w:t>Licensing/Regulatory Information</w:t>
      </w:r>
    </w:p>
    <w:p w:rsidR="00000000" w:rsidRPr="00DE2C32" w:rsidP="00DE2C32">
      <w:pPr>
        <w:pStyle w:val="BodyText"/>
      </w:pPr>
      <w:r w:rsidRPr="00DE2C32">
        <w:t>Not Applicable</w:t>
      </w:r>
    </w:p>
    <w:p w:rsidR="00000000" w:rsidRPr="00DE2C32" w:rsidP="00DE2C32">
      <w:pPr>
        <w:pStyle w:val="AllowPageBreak"/>
      </w:pPr>
    </w:p>
    <w:p w:rsidR="00000000" w:rsidRPr="00DE2C32" w:rsidP="00DE2C32">
      <w:pPr>
        <w:pStyle w:val="Heading1"/>
      </w:pPr>
      <w:bookmarkStart w:id="5" w:name="O_335624"/>
      <w:bookmarkEnd w:id="5"/>
      <w:r w:rsidRPr="00DE2C32">
        <w:t>Pre-Requisites</w:t>
      </w:r>
    </w:p>
    <w:tbl>
      <w:tblPr>
        <w:tblW w:w="0" w:type="auto"/>
        <w:tblLayout w:type="fixed"/>
        <w:tblCellMar>
          <w:left w:w="62" w:type="dxa"/>
          <w:right w:w="62" w:type="dxa"/>
        </w:tblCellMar>
        <w:tblLook w:val="0000"/>
      </w:tblPr>
      <w:tblGrid>
        <w:gridCol w:w="2775"/>
        <w:gridCol w:w="1295"/>
        <w:gridCol w:w="4452"/>
      </w:tblGrid>
      <w:tr w:rsidTr="009421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p>
        </w:tc>
      </w:tr>
      <w:tr w:rsidTr="009421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p>
        </w:tc>
      </w:tr>
      <w:tr w:rsidTr="009421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BodyText"/>
            </w:pPr>
          </w:p>
        </w:tc>
      </w:tr>
    </w:tbl>
    <w:p w:rsidR="00942110" w:rsidP="00DE2C32">
      <w:pPr>
        <w:pStyle w:val="BodyText"/>
      </w:pPr>
    </w:p>
    <w:p w:rsidR="00942110" w:rsidP="00DE2C32">
      <w:pPr>
        <w:pStyle w:val="BodyText"/>
      </w:pPr>
    </w:p>
    <w:p w:rsidR="00000000" w:rsidRPr="00DE2C32" w:rsidP="00DE2C32">
      <w:pPr>
        <w:pStyle w:val="Heading1"/>
      </w:pPr>
      <w:bookmarkStart w:id="6" w:name="O_335620"/>
      <w:bookmarkEnd w:id="6"/>
      <w:r w:rsidRPr="00DE2C32">
        <w:t>Employability Skills Information</w:t>
      </w:r>
    </w:p>
    <w:tbl>
      <w:tblPr>
        <w:tblW w:w="0" w:type="auto"/>
        <w:tblLayout w:type="fixed"/>
        <w:tblCellMar>
          <w:left w:w="62" w:type="dxa"/>
          <w:right w:w="62" w:type="dxa"/>
        </w:tblCellMar>
        <w:tblLook w:val="0000"/>
      </w:tblPr>
      <w:tblGrid>
        <w:gridCol w:w="2802"/>
        <w:gridCol w:w="5720"/>
      </w:tblGrid>
      <w:tr w:rsidTr="009421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BodyText"/>
            </w:pPr>
            <w:r w:rsidRPr="00DE2C32">
              <w:t>This unit contains employability skills.</w:t>
            </w:r>
          </w:p>
        </w:tc>
      </w:tr>
    </w:tbl>
    <w:p w:rsidR="00942110" w:rsidP="00DE2C32">
      <w:pPr>
        <w:pStyle w:val="BodyText"/>
      </w:pPr>
    </w:p>
    <w:p w:rsidR="00942110" w:rsidP="00DE2C32">
      <w:pPr>
        <w:pStyle w:val="BodyText"/>
      </w:pPr>
    </w:p>
    <w:p w:rsidR="00000000" w:rsidRPr="00DE2C32" w:rsidP="00DE2C32">
      <w:pPr>
        <w:pStyle w:val="Heading1"/>
      </w:pPr>
      <w:bookmarkStart w:id="7" w:name="O_335619"/>
      <w:bookmarkEnd w:id="7"/>
      <w:r w:rsidRPr="00DE2C32">
        <w:t>Elements and Performance Criteria Pre-Content</w:t>
      </w:r>
    </w:p>
    <w:tbl>
      <w:tblPr>
        <w:tblW w:w="0" w:type="auto"/>
        <w:tblLayout w:type="fixed"/>
        <w:tblCellMar>
          <w:left w:w="62" w:type="dxa"/>
          <w:right w:w="62" w:type="dxa"/>
        </w:tblCellMar>
        <w:tblLook w:val="0000"/>
      </w:tblPr>
      <w:tblGrid>
        <w:gridCol w:w="2554"/>
        <w:gridCol w:w="5968"/>
      </w:tblGrid>
      <w:tr w:rsidTr="0094211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BodyText"/>
            </w:pPr>
            <w:r w:rsidRPr="00DE2C32">
              <w:t>Performance criteria describe the performance needed to demonstrate achievement of the element. Where bold italicised text is used, further information is detailed in the required skills and</w:t>
            </w:r>
            <w:r w:rsidRPr="00DE2C32">
              <w:t xml:space="preserve"> knowledge section and the range statement. Assessment of performance is to be consistent with the evidence guide.</w:t>
            </w:r>
          </w:p>
        </w:tc>
      </w:tr>
    </w:tbl>
    <w:p w:rsidR="00000000" w:rsidRPr="00DE2C32" w:rsidP="00DE2C32">
      <w:pPr>
        <w:pStyle w:val="BodyText"/>
      </w:pPr>
    </w:p>
    <w:p w:rsidR="00000000" w:rsidRPr="00DE2C32" w:rsidP="00DE2C32">
      <w:pPr>
        <w:pStyle w:val="AllowPageBreak"/>
      </w:pPr>
    </w:p>
    <w:p w:rsidR="00000000" w:rsidRPr="00DE2C32" w:rsidP="00DE2C32">
      <w:pPr>
        <w:pStyle w:val="Heading1"/>
      </w:pPr>
      <w:bookmarkStart w:id="8" w:name="O_335618"/>
      <w:bookmarkEnd w:id="8"/>
      <w:r w:rsidRPr="00DE2C32">
        <w:t>Elements and Performance Criteria</w:t>
      </w:r>
    </w:p>
    <w:tbl>
      <w:tblPr>
        <w:tblW w:w="0" w:type="auto"/>
        <w:tblLayout w:type="fixed"/>
        <w:tblCellMar>
          <w:left w:w="62" w:type="dxa"/>
          <w:right w:w="62" w:type="dxa"/>
        </w:tblCellMar>
        <w:tblLook w:val="0000"/>
      </w:tblPr>
      <w:tblGrid>
        <w:gridCol w:w="2554"/>
        <w:gridCol w:w="5968"/>
      </w:tblGrid>
      <w:tr w:rsidTr="00942110">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BodyText"/>
            </w:pPr>
            <w:r w:rsidRPr="00DE2C32">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PERFORMANCE CRITERIA</w:t>
            </w:r>
          </w:p>
        </w:tc>
      </w:tr>
      <w:tr w:rsidTr="0094211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List"/>
              <w:rPr>
                <w:lang w:val="en-NZ"/>
              </w:rPr>
            </w:pPr>
            <w:r w:rsidRPr="00DE2C32">
              <w:t>1.</w:t>
            </w:r>
            <w:r w:rsidRPr="00DE2C32">
              <w:tab/>
            </w:r>
            <w:r w:rsidRPr="00DE2C32">
              <w:rPr>
                <w:rStyle w:val="BoldandItalics"/>
              </w:rPr>
              <w:t>Operate</w:t>
            </w:r>
            <w:r w:rsidRPr="00DE2C32">
              <w:t xml:space="preserve"> and calibrate </w:t>
            </w:r>
            <w:r w:rsidRPr="00DE2C32">
              <w:rPr>
                <w:rStyle w:val="BoldandItalics"/>
              </w:rPr>
              <w:t>pH equipment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List2"/>
            </w:pPr>
            <w:r w:rsidRPr="00DE2C32">
              <w:t>1.1.</w:t>
            </w:r>
            <w:r w:rsidRPr="00DE2C32">
              <w:tab/>
              <w:t>Temperature cal</w:t>
            </w:r>
            <w:r w:rsidRPr="00DE2C32">
              <w:t>ibrations are conducted.</w:t>
            </w:r>
          </w:p>
          <w:p w:rsidR="00000000" w:rsidP="00DE2C32">
            <w:pPr>
              <w:pStyle w:val="List2"/>
              <w:rPr>
                <w:lang w:val="en-NZ"/>
              </w:rPr>
            </w:pPr>
            <w:r w:rsidRPr="00DE2C32">
              <w:t>1.2.</w:t>
            </w:r>
            <w:r w:rsidRPr="00DE2C32">
              <w:tab/>
              <w:t>pH calibrations are conducted.</w:t>
            </w:r>
          </w:p>
        </w:tc>
      </w:tr>
      <w:tr w:rsidTr="0094211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List"/>
              <w:rPr>
                <w:lang w:val="en-NZ"/>
              </w:rPr>
            </w:pPr>
            <w:r w:rsidRPr="00DE2C32">
              <w:t>2.</w:t>
            </w:r>
            <w:r w:rsidRPr="00DE2C32">
              <w:tab/>
              <w:t>Conduct monthly and weekly monitoring of the pH or temperature window</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List2"/>
            </w:pPr>
            <w:r w:rsidRPr="00DE2C32">
              <w:t>2.1.</w:t>
            </w:r>
            <w:r w:rsidRPr="00DE2C32">
              <w:tab/>
              <w:t>Correct technique for pH and temperature measurement is demonstrated.</w:t>
            </w:r>
          </w:p>
          <w:p w:rsidR="00000000" w:rsidRPr="00DE2C32" w:rsidP="00DE2C32">
            <w:pPr>
              <w:pStyle w:val="List2"/>
            </w:pPr>
            <w:r w:rsidRPr="00DE2C32">
              <w:t>2.2.</w:t>
            </w:r>
            <w:r w:rsidRPr="00DE2C32">
              <w:tab/>
            </w:r>
            <w:r w:rsidRPr="00DE2C32">
              <w:t>Necessary information for validating monitoring is collected.</w:t>
            </w:r>
          </w:p>
          <w:p w:rsidR="00000000" w:rsidRPr="00DE2C32" w:rsidP="00DE2C32">
            <w:pPr>
              <w:pStyle w:val="List2"/>
            </w:pPr>
            <w:r w:rsidRPr="00DE2C32">
              <w:t>2.3.</w:t>
            </w:r>
            <w:r w:rsidRPr="00DE2C32">
              <w:tab/>
              <w:t>Valid and sufficient readings are collected.</w:t>
            </w:r>
          </w:p>
          <w:p w:rsidR="00000000" w:rsidP="00DE2C32">
            <w:pPr>
              <w:pStyle w:val="List2"/>
              <w:rPr>
                <w:lang w:val="en-NZ"/>
              </w:rPr>
            </w:pPr>
            <w:r w:rsidRPr="00DE2C32">
              <w:t>2.4.</w:t>
            </w:r>
            <w:r w:rsidRPr="00DE2C32">
              <w:tab/>
              <w:t>Results are recorded and reported.</w:t>
            </w:r>
          </w:p>
        </w:tc>
      </w:tr>
      <w:tr w:rsidTr="0094211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List"/>
              <w:rPr>
                <w:lang w:val="en-NZ"/>
              </w:rPr>
            </w:pPr>
            <w:r w:rsidRPr="00DE2C32">
              <w:t>3.</w:t>
            </w:r>
            <w:r w:rsidRPr="00DE2C32">
              <w:tab/>
              <w:t>Analyse results of pH and temperature monitoring</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List2"/>
            </w:pPr>
            <w:r w:rsidRPr="00DE2C32">
              <w:t>3.1.</w:t>
            </w:r>
            <w:r w:rsidRPr="00DE2C32">
              <w:tab/>
              <w:t>Effects of heat shortening and cold shortening</w:t>
            </w:r>
            <w:r w:rsidRPr="00DE2C32">
              <w:t xml:space="preserve"> are recognised.</w:t>
            </w:r>
          </w:p>
          <w:p w:rsidR="00000000" w:rsidP="00DE2C32">
            <w:pPr>
              <w:pStyle w:val="List2"/>
              <w:rPr>
                <w:lang w:val="en-NZ"/>
              </w:rPr>
            </w:pPr>
            <w:r w:rsidRPr="00DE2C32">
              <w:t>3.2.</w:t>
            </w:r>
            <w:r w:rsidRPr="00DE2C32">
              <w:tab/>
              <w:t>pH and temperature window is identified.</w:t>
            </w:r>
          </w:p>
        </w:tc>
      </w:tr>
      <w:tr w:rsidTr="0094211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List"/>
              <w:rPr>
                <w:lang w:val="en-NZ"/>
              </w:rPr>
            </w:pPr>
            <w:r w:rsidRPr="00DE2C32">
              <w:t>4.</w:t>
            </w:r>
            <w:r w:rsidRPr="00DE2C32">
              <w:tab/>
              <w:t>Suggest corrective action plans if window conformance is not achieved</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List2"/>
            </w:pPr>
            <w:r w:rsidRPr="00DE2C32">
              <w:t>4.1.</w:t>
            </w:r>
            <w:r w:rsidRPr="00DE2C32">
              <w:tab/>
              <w:t>Factors impacting on pH or temperature window conformance are identified and evaluated.</w:t>
            </w:r>
          </w:p>
          <w:p w:rsidR="00000000" w:rsidRPr="00DE2C32" w:rsidP="00DE2C32">
            <w:pPr>
              <w:pStyle w:val="List2"/>
            </w:pPr>
            <w:r w:rsidRPr="00DE2C32">
              <w:t>4.2.</w:t>
            </w:r>
            <w:r w:rsidRPr="00DE2C32">
              <w:tab/>
              <w:t>Reasons for non-confo</w:t>
            </w:r>
            <w:r w:rsidRPr="00DE2C32">
              <w:t>rmance are identified.</w:t>
            </w:r>
          </w:p>
          <w:p w:rsidR="00000000" w:rsidRPr="00DE2C32" w:rsidP="00DE2C32">
            <w:pPr>
              <w:pStyle w:val="List2"/>
            </w:pPr>
            <w:r w:rsidRPr="00DE2C32">
              <w:t>4.3.</w:t>
            </w:r>
            <w:r w:rsidRPr="00DE2C32">
              <w:tab/>
              <w:t>Trials to achieve window conformance are conducted.</w:t>
            </w:r>
          </w:p>
        </w:tc>
      </w:tr>
    </w:tbl>
    <w:p w:rsidR="00942110" w:rsidP="00DE2C32">
      <w:pPr>
        <w:pStyle w:val="BodyText"/>
      </w:pPr>
    </w:p>
    <w:p w:rsidR="00942110" w:rsidP="00DE2C32">
      <w:pPr>
        <w:pStyle w:val="BodyText"/>
      </w:pPr>
    </w:p>
    <w:p w:rsidR="00000000" w:rsidRPr="00DE2C32" w:rsidP="00DE2C32">
      <w:pPr>
        <w:pStyle w:val="Heading1"/>
      </w:pPr>
      <w:bookmarkStart w:id="9" w:name="O_335626"/>
      <w:bookmarkEnd w:id="9"/>
      <w:r w:rsidRPr="00DE2C32">
        <w:t>Required Skills and Knowledge</w:t>
      </w:r>
    </w:p>
    <w:tbl>
      <w:tblPr>
        <w:tblW w:w="0" w:type="auto"/>
        <w:tblLayout w:type="fixed"/>
        <w:tblCellMar>
          <w:left w:w="62" w:type="dxa"/>
          <w:right w:w="62" w:type="dxa"/>
        </w:tblCellMar>
        <w:tblLook w:val="0000"/>
      </w:tblPr>
      <w:tblGrid>
        <w:gridCol w:w="8522"/>
      </w:tblGrid>
      <w:tr w:rsidTr="009421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REQUIRED SKILLS AND KNOWLEDGE</w:t>
            </w:r>
          </w:p>
        </w:tc>
      </w:tr>
      <w:tr w:rsidTr="009421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t>This section describes the skills and knowledge required for this unit.</w:t>
            </w:r>
          </w:p>
        </w:tc>
      </w:tr>
      <w:tr w:rsidTr="00942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Required skills</w:t>
            </w:r>
          </w:p>
        </w:tc>
      </w:tr>
      <w:tr w:rsidTr="00942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BodyText"/>
            </w:pPr>
            <w:r w:rsidRPr="00DE2C32">
              <w:t xml:space="preserve">Ability to: </w:t>
            </w:r>
          </w:p>
          <w:p w:rsidR="00000000" w:rsidRPr="00DE2C32" w:rsidP="00DE2C32">
            <w:pPr>
              <w:pStyle w:val="ListBullet"/>
            </w:pPr>
            <w:r w:rsidRPr="00DE2C32">
              <w:t>collect information on live animals to be used in pH and temperature monitoring</w:t>
            </w:r>
          </w:p>
          <w:p w:rsidR="00000000" w:rsidRPr="00DE2C32" w:rsidP="00DE2C32">
            <w:pPr>
              <w:pStyle w:val="ListBullet"/>
            </w:pPr>
            <w:r w:rsidRPr="00DE2C32">
              <w:t>conduct monthly and weekly monitoring of the pH and temperature window</w:t>
            </w:r>
          </w:p>
          <w:p w:rsidR="00000000" w:rsidRPr="00DE2C32" w:rsidP="00DE2C32">
            <w:pPr>
              <w:pStyle w:val="ListBullet"/>
            </w:pPr>
            <w:r w:rsidRPr="00DE2C32">
              <w:t>observe, time and follow carcases through the slaughter floor recording th</w:t>
            </w:r>
            <w:r w:rsidRPr="00DE2C32">
              <w:t>e following:</w:t>
            </w:r>
          </w:p>
          <w:p w:rsidR="00000000" w:rsidRPr="00DE2C32" w:rsidP="00DE2C32">
            <w:pPr>
              <w:pStyle w:val="ListBullet2"/>
            </w:pPr>
            <w:r w:rsidRPr="00DE2C32">
              <w:t>carcase information</w:t>
            </w:r>
          </w:p>
          <w:p w:rsidR="00000000" w:rsidRPr="00DE2C32" w:rsidP="00DE2C32">
            <w:pPr>
              <w:pStyle w:val="ListBullet2"/>
            </w:pPr>
            <w:r w:rsidRPr="00DE2C32">
              <w:t>chiller number</w:t>
            </w:r>
          </w:p>
          <w:p w:rsidR="00000000" w:rsidRPr="00DE2C32" w:rsidP="00DE2C32">
            <w:pPr>
              <w:pStyle w:val="ListBullet2"/>
            </w:pPr>
            <w:r w:rsidRPr="00DE2C32">
              <w:t>immobiliser information (if applicable)</w:t>
            </w:r>
          </w:p>
          <w:p w:rsidR="00000000" w:rsidRPr="00DE2C32" w:rsidP="00DE2C32">
            <w:pPr>
              <w:pStyle w:val="ListBullet2"/>
            </w:pPr>
            <w:r w:rsidRPr="00DE2C32">
              <w:t>rigidity probe information (if applicable)</w:t>
            </w:r>
          </w:p>
          <w:p w:rsidR="00000000" w:rsidRPr="00DE2C32" w:rsidP="00DE2C32">
            <w:pPr>
              <w:pStyle w:val="ListBullet2"/>
            </w:pPr>
            <w:r w:rsidRPr="00DE2C32">
              <w:t>stimulation information (if applicable)</w:t>
            </w:r>
          </w:p>
          <w:p w:rsidR="00000000" w:rsidRPr="00DE2C32" w:rsidP="00DE2C32">
            <w:pPr>
              <w:pStyle w:val="ListBullet2"/>
            </w:pPr>
            <w:r w:rsidRPr="00DE2C32">
              <w:t>time into the chiller</w:t>
            </w:r>
          </w:p>
          <w:p w:rsidR="00000000" w:rsidRPr="00DE2C32" w:rsidP="00DE2C32">
            <w:pPr>
              <w:pStyle w:val="ListBullet2"/>
            </w:pPr>
            <w:r w:rsidRPr="00DE2C32">
              <w:t>time stunned</w:t>
            </w:r>
          </w:p>
          <w:p w:rsidR="00000000" w:rsidRPr="00DE2C32" w:rsidP="00DE2C32">
            <w:pPr>
              <w:pStyle w:val="ListBullet"/>
            </w:pPr>
            <w:r w:rsidRPr="00DE2C32">
              <w:t>analyse results to verify conformance</w:t>
            </w:r>
          </w:p>
          <w:p w:rsidR="00000000" w:rsidRPr="00DE2C32" w:rsidP="00DE2C32">
            <w:pPr>
              <w:pStyle w:val="ListBullet"/>
            </w:pPr>
            <w:r w:rsidRPr="00DE2C32">
              <w:t xml:space="preserve">apply relevant </w:t>
            </w:r>
            <w:r w:rsidRPr="00DE2C32">
              <w:rPr>
                <w:rStyle w:val="BoldandItalics"/>
              </w:rPr>
              <w:t>communication</w:t>
            </w:r>
            <w:r w:rsidRPr="00DE2C32">
              <w:t xml:space="preserve"> and </w:t>
            </w:r>
            <w:r w:rsidRPr="00DE2C32">
              <w:rPr>
                <w:rStyle w:val="BoldandItalics"/>
              </w:rPr>
              <w:t>mathematical skills</w:t>
            </w:r>
          </w:p>
          <w:p w:rsidR="00000000" w:rsidRPr="00DE2C32" w:rsidP="00DE2C32">
            <w:pPr>
              <w:pStyle w:val="ListBullet"/>
            </w:pPr>
            <w:r w:rsidRPr="00DE2C32">
              <w:t>work effectively as an individual and as part of a team</w:t>
            </w:r>
          </w:p>
          <w:p w:rsidR="00000000" w:rsidRPr="00DE2C32" w:rsidP="00DE2C32">
            <w:pPr>
              <w:pStyle w:val="ListBullet"/>
            </w:pPr>
            <w:r w:rsidRPr="00DE2C32">
              <w:t>generate individual and lot average graphs to show pH and temperature window conformance</w:t>
            </w:r>
          </w:p>
          <w:p w:rsidR="00000000" w:rsidRPr="00DE2C32" w:rsidP="00DE2C32">
            <w:pPr>
              <w:pStyle w:val="ListBullet"/>
            </w:pPr>
            <w:r w:rsidRPr="00DE2C32">
              <w:t xml:space="preserve">identify and apply relevant </w:t>
            </w:r>
            <w:r w:rsidRPr="00DE2C32">
              <w:rPr>
                <w:rStyle w:val="BoldandItalics"/>
              </w:rPr>
              <w:t>Occupational Health and Safety</w:t>
            </w:r>
            <w:r w:rsidRPr="00DE2C32">
              <w:t xml:space="preserve"> (</w:t>
            </w:r>
            <w:r w:rsidRPr="00DE2C32">
              <w:rPr>
                <w:rStyle w:val="BoldandItalics"/>
              </w:rPr>
              <w:t>OH</w:t>
            </w:r>
            <w:r w:rsidRPr="00DE2C32">
              <w:t>&amp;</w:t>
            </w:r>
            <w:r w:rsidRPr="00DE2C32">
              <w:rPr>
                <w:rStyle w:val="BoldandItalics"/>
              </w:rPr>
              <w:t>S</w:t>
            </w:r>
            <w:r w:rsidRPr="00DE2C32">
              <w:t xml:space="preserve">), </w:t>
            </w:r>
            <w:r w:rsidRPr="00DE2C32">
              <w:rPr>
                <w:rStyle w:val="BoldandItalics"/>
              </w:rPr>
              <w:t>regulatory</w:t>
            </w:r>
            <w:r w:rsidRPr="00DE2C32">
              <w:t xml:space="preserve"> and </w:t>
            </w:r>
            <w:r w:rsidRPr="00DE2C32">
              <w:rPr>
                <w:rStyle w:val="BoldandItalics"/>
              </w:rPr>
              <w:t>workplace requirements</w:t>
            </w:r>
          </w:p>
          <w:p w:rsidR="00000000" w:rsidRPr="00DE2C32" w:rsidP="00DE2C32">
            <w:pPr>
              <w:pStyle w:val="ListBullet"/>
            </w:pPr>
            <w:r w:rsidRPr="00DE2C32">
              <w:t>Improve own work performance as a result of self-evaluation, feedback from others, or in response to changed work practices or technology</w:t>
            </w:r>
          </w:p>
          <w:p w:rsidR="00000000" w:rsidRPr="00DE2C32" w:rsidP="00DE2C32">
            <w:pPr>
              <w:pStyle w:val="ListBullet"/>
            </w:pPr>
            <w:r w:rsidRPr="00DE2C32">
              <w:t>maintain currency of knowledg</w:t>
            </w:r>
            <w:r w:rsidRPr="00DE2C32">
              <w:t>e through professional development or self-directed research</w:t>
            </w:r>
          </w:p>
          <w:p w:rsidR="00000000" w:rsidRPr="00DE2C32" w:rsidP="00DE2C32">
            <w:pPr>
              <w:pStyle w:val="ListBullet"/>
            </w:pPr>
            <w:r w:rsidRPr="00DE2C32">
              <w:t>operate and calibrate pH and temperature readings</w:t>
            </w:r>
          </w:p>
          <w:p w:rsidR="00000000" w:rsidP="00DE2C32">
            <w:pPr>
              <w:pStyle w:val="ListBullet"/>
              <w:rPr>
                <w:lang w:val="en-NZ"/>
              </w:rPr>
            </w:pPr>
            <w:r w:rsidRPr="00DE2C32">
              <w:t>suggest corrective action procedures</w:t>
            </w:r>
          </w:p>
        </w:tc>
      </w:tr>
      <w:tr w:rsidTr="00942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Required knowledge</w:t>
            </w:r>
          </w:p>
        </w:tc>
      </w:tr>
      <w:tr w:rsidTr="00942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BodyText"/>
            </w:pPr>
            <w:r w:rsidRPr="00DE2C32">
              <w:t>Knowledge of:</w:t>
            </w:r>
          </w:p>
          <w:p w:rsidR="00000000" w:rsidRPr="00DE2C32" w:rsidP="00DE2C32">
            <w:pPr>
              <w:pStyle w:val="ListBullet"/>
            </w:pPr>
            <w:r w:rsidRPr="00DE2C32">
              <w:t xml:space="preserve">the scope and nature of </w:t>
            </w:r>
            <w:r w:rsidRPr="00DE2C32">
              <w:rPr>
                <w:rStyle w:val="BoldandItalics"/>
              </w:rPr>
              <w:t>MSA standards</w:t>
            </w:r>
            <w:r w:rsidRPr="00DE2C32">
              <w:t xml:space="preserve"> </w:t>
            </w:r>
          </w:p>
          <w:p w:rsidR="00000000" w:rsidRPr="00DE2C32" w:rsidP="00DE2C32">
            <w:pPr>
              <w:pStyle w:val="ListBullet"/>
            </w:pPr>
            <w:r w:rsidRPr="00DE2C32">
              <w:t>how electrical stimulation impacts on pH decline</w:t>
            </w:r>
          </w:p>
          <w:p w:rsidR="00000000" w:rsidRPr="00DE2C32" w:rsidP="00DE2C32">
            <w:pPr>
              <w:pStyle w:val="ListBullet"/>
            </w:pPr>
            <w:r w:rsidRPr="00DE2C32">
              <w:t xml:space="preserve">impact chilling factors have on the </w:t>
            </w:r>
            <w:r w:rsidRPr="00DE2C32">
              <w:rPr>
                <w:rStyle w:val="BoldandItalics"/>
              </w:rPr>
              <w:t>rate of pH and temperature decline</w:t>
            </w:r>
          </w:p>
          <w:p w:rsidR="00000000" w:rsidRPr="00DE2C32" w:rsidP="00DE2C32">
            <w:pPr>
              <w:pStyle w:val="ListBullet"/>
            </w:pPr>
            <w:r w:rsidRPr="00DE2C32">
              <w:t>how the time it takes a carcase to reach the chiller can impact on the rate of pH decline</w:t>
            </w:r>
          </w:p>
          <w:p w:rsidR="00000000" w:rsidRPr="00DE2C32" w:rsidP="00DE2C32">
            <w:pPr>
              <w:pStyle w:val="ListBullet"/>
            </w:pPr>
            <w:r w:rsidRPr="00DE2C32">
              <w:t>pH and temperature window</w:t>
            </w:r>
          </w:p>
          <w:p w:rsidR="00000000" w:rsidRPr="00DE2C32" w:rsidP="00DE2C32">
            <w:pPr>
              <w:pStyle w:val="ListBullet"/>
            </w:pPr>
            <w:r w:rsidRPr="00DE2C32">
              <w:t xml:space="preserve">how cold shortening </w:t>
            </w:r>
            <w:r w:rsidRPr="00DE2C32">
              <w:t>occurs and the characteristics of cold shortened product</w:t>
            </w:r>
          </w:p>
          <w:p w:rsidR="00000000" w:rsidRPr="00DE2C32" w:rsidP="00DE2C32">
            <w:pPr>
              <w:pStyle w:val="ListBullet"/>
            </w:pPr>
            <w:r w:rsidRPr="00DE2C32">
              <w:t>how heat shortening occurs and the characteristics of heat shortened product</w:t>
            </w:r>
          </w:p>
          <w:p w:rsidR="00000000" w:rsidRPr="00DE2C32" w:rsidP="00DE2C32">
            <w:pPr>
              <w:pStyle w:val="ListBullet"/>
            </w:pPr>
            <w:r w:rsidRPr="00DE2C32">
              <w:t>how other electrical inputs can impact on the rate of pH decline</w:t>
            </w:r>
          </w:p>
          <w:p w:rsidR="00000000" w:rsidRPr="00DE2C32" w:rsidP="00DE2C32">
            <w:pPr>
              <w:pStyle w:val="ListBullet"/>
            </w:pPr>
            <w:r w:rsidRPr="00DE2C32">
              <w:t>the impact the temperature of the slaughter floor can hav</w:t>
            </w:r>
            <w:r w:rsidRPr="00DE2C32">
              <w:t>e on the rate of the pH and temperature decline</w:t>
            </w:r>
          </w:p>
          <w:p w:rsidR="00000000" w:rsidRPr="00DE2C32" w:rsidP="00DE2C32">
            <w:pPr>
              <w:pStyle w:val="ListBullet"/>
            </w:pPr>
            <w:r w:rsidRPr="00DE2C32">
              <w:t>what glycogen is and the relationship between stress and pH</w:t>
            </w:r>
          </w:p>
          <w:p w:rsidR="00000000" w:rsidRPr="00DE2C32" w:rsidP="00DE2C32">
            <w:pPr>
              <w:pStyle w:val="ListBullet"/>
            </w:pPr>
            <w:r w:rsidRPr="00DE2C32">
              <w:t>what pH is and why pH is important for eating quality</w:t>
            </w:r>
          </w:p>
        </w:tc>
      </w:tr>
    </w:tbl>
    <w:p w:rsidR="00942110" w:rsidP="00DE2C32">
      <w:pPr>
        <w:pStyle w:val="BodyText"/>
      </w:pPr>
    </w:p>
    <w:p w:rsidR="00942110" w:rsidP="00DE2C32">
      <w:pPr>
        <w:pStyle w:val="BodyText"/>
      </w:pPr>
    </w:p>
    <w:p w:rsidR="00000000" w:rsidRPr="00DE2C32" w:rsidP="00DE2C32">
      <w:pPr>
        <w:pStyle w:val="AllowPageBreak"/>
      </w:pPr>
    </w:p>
    <w:p w:rsidR="00000000" w:rsidRPr="00DE2C32" w:rsidP="00DE2C32">
      <w:pPr>
        <w:pStyle w:val="Heading1"/>
      </w:pPr>
      <w:bookmarkStart w:id="10" w:name="O_335621"/>
      <w:bookmarkEnd w:id="10"/>
      <w:r w:rsidRPr="00DE2C32">
        <w:t>Evidence Guide</w:t>
      </w:r>
    </w:p>
    <w:tbl>
      <w:tblPr>
        <w:tblW w:w="9570" w:type="dxa"/>
        <w:tblLayout w:type="fixed"/>
        <w:tblCellMar>
          <w:left w:w="62" w:type="dxa"/>
          <w:right w:w="62" w:type="dxa"/>
        </w:tblCellMar>
        <w:tblLook w:val="0000"/>
      </w:tblPr>
      <w:tblGrid>
        <w:gridCol w:w="3908"/>
        <w:gridCol w:w="5662"/>
      </w:tblGrid>
      <w:tr w:rsidTr="009421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EVIDENCE GUIDE</w:t>
            </w:r>
          </w:p>
        </w:tc>
      </w:tr>
      <w:tr w:rsidTr="009421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t>The evidence guide provides advice on assessment and must be read in conjunction with the performance criteria, required skills and knowledge, range statement and the Assessment Guidelines for the Training Package.</w:t>
            </w:r>
          </w:p>
        </w:tc>
      </w:tr>
      <w:tr w:rsidTr="00942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BodyText"/>
            </w:pPr>
            <w:r w:rsidRPr="00DE2C32">
              <w:t>The meat industry has specific and clear requirements for evidence. A minimum of three forms of evidence is required to demonstrate competency in the meat industry. This is specifically designed to provide evidence that covers the demonstration in the work</w:t>
            </w:r>
            <w:r w:rsidRPr="00DE2C32">
              <w:t>place of all aspects of competency over time.</w:t>
            </w:r>
          </w:p>
          <w:p w:rsidR="00000000" w:rsidRPr="00DE2C32" w:rsidP="00DE2C32">
            <w:pPr>
              <w:pStyle w:val="BodyText"/>
            </w:pPr>
          </w:p>
          <w:p w:rsidR="00000000" w:rsidRPr="00DE2C32" w:rsidP="00DE2C32">
            <w:pPr>
              <w:pStyle w:val="BodyText"/>
            </w:pPr>
            <w:r w:rsidRPr="00DE2C32">
              <w:t>These requirements are in addition to the requirements for valid, current, authentic and sufficient evidence.</w:t>
            </w:r>
          </w:p>
          <w:p w:rsidR="00000000" w:rsidRPr="00DE2C32" w:rsidP="00DE2C32">
            <w:pPr>
              <w:pStyle w:val="BodyText"/>
            </w:pPr>
            <w:r w:rsidRPr="00DE2C32">
              <w:t>Three forms of evidence means three different kinds of evidence - not three pieces of the same kind</w:t>
            </w:r>
            <w:r w:rsidRPr="00DE2C32">
              <w:t>. In practice it will mean that most of the unit is covered twice. This increases the legitimacy of the evidence.</w:t>
            </w:r>
          </w:p>
          <w:p w:rsidR="00000000" w:rsidRPr="00DE2C32" w:rsidP="00DE2C32">
            <w:pPr>
              <w:pStyle w:val="BodyText"/>
            </w:pPr>
          </w:p>
          <w:p w:rsidR="00000000" w:rsidP="00DE2C32">
            <w:pPr>
              <w:pStyle w:val="BodyText"/>
              <w:rPr>
                <w:lang w:val="en-NZ"/>
              </w:rPr>
            </w:pPr>
            <w:r w:rsidRPr="00DE2C32">
              <w:t>All assessment must be conducted against Australian meat industry standards and regulations.</w:t>
            </w:r>
          </w:p>
        </w:tc>
      </w:tr>
      <w:tr w:rsidTr="00942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Critical aspects for assessment and evidence re</w:t>
            </w:r>
            <w:r w:rsidRPr="00DE2C32">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t>Competency must be demonstrated over time and under typical operating and production conditions for the enterprise.</w:t>
            </w:r>
          </w:p>
        </w:tc>
      </w:tr>
      <w:tr w:rsidTr="00942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t>The application of competency is to be asses</w:t>
            </w:r>
            <w:r w:rsidRPr="00DE2C32">
              <w:t>sed in the workplace. Assessment is to occur under standard and authorised work practices, safety requirements and regulatory requirements.</w:t>
            </w:r>
          </w:p>
        </w:tc>
      </w:tr>
      <w:tr w:rsidTr="00942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BodyText"/>
            </w:pPr>
            <w:r w:rsidRPr="00DE2C32">
              <w:t>Recommended methods of assessment are:</w:t>
            </w:r>
          </w:p>
          <w:p w:rsidR="00000000" w:rsidRPr="00DE2C32" w:rsidP="00DE2C32">
            <w:pPr>
              <w:pStyle w:val="ListBullet"/>
            </w:pPr>
            <w:r w:rsidRPr="00DE2C32">
              <w:t>evidence log book</w:t>
            </w:r>
          </w:p>
          <w:p w:rsidR="00000000" w:rsidRPr="00DE2C32" w:rsidP="00DE2C32">
            <w:pPr>
              <w:pStyle w:val="ListBullet"/>
            </w:pPr>
            <w:r w:rsidRPr="00DE2C32">
              <w:t>examination of results of monitoring she or he has conducted</w:t>
            </w:r>
          </w:p>
          <w:p w:rsidR="00000000" w:rsidRPr="00DE2C32" w:rsidP="00DE2C32">
            <w:pPr>
              <w:pStyle w:val="ListBullet"/>
            </w:pPr>
            <w:r w:rsidRPr="00DE2C32">
              <w:t>observation of the applicant working</w:t>
            </w:r>
          </w:p>
          <w:p w:rsidR="00000000" w:rsidRPr="00DE2C32" w:rsidP="00DE2C32">
            <w:pPr>
              <w:pStyle w:val="ListBullet"/>
            </w:pPr>
            <w:r w:rsidRPr="00DE2C32">
              <w:t>written tests and/or questioning.</w:t>
            </w:r>
          </w:p>
          <w:p w:rsidR="00000000" w:rsidRPr="00DE2C32" w:rsidP="00DE2C32">
            <w:pPr>
              <w:pStyle w:val="BodyText"/>
            </w:pPr>
          </w:p>
          <w:p w:rsidR="00000000" w:rsidP="00DE2C32">
            <w:pPr>
              <w:pStyle w:val="BodyText"/>
              <w:rPr>
                <w:lang w:val="en-NZ"/>
              </w:rPr>
            </w:pPr>
            <w:r w:rsidRPr="00DE2C32">
              <w:t>Assessment practices should take into account any relevant language or cultural issues related to Aboriginality or Torres S</w:t>
            </w:r>
            <w:r w:rsidRPr="00DE2C32">
              <w:t>trait Islander, gender, or language backgrounds other than English. Language and literacy demands of the assessment task should not be higher than those of the work role.</w:t>
            </w:r>
          </w:p>
        </w:tc>
      </w:tr>
      <w:tr w:rsidTr="00942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BodyText"/>
            </w:pPr>
            <w:r w:rsidRPr="00DE2C32">
              <w:t>A current list of resources for this unit of com</w:t>
            </w:r>
            <w:r w:rsidRPr="00DE2C32">
              <w:t xml:space="preserve">petency is available from MINTRAC </w:t>
            </w:r>
            <w:r w:rsidRPr="00DE2C32">
              <w:rPr>
                <w:rStyle w:val="Underline"/>
              </w:rPr>
              <w:t>www</w:t>
            </w:r>
            <w:r w:rsidRPr="00DE2C32">
              <w:t>.</w:t>
            </w:r>
            <w:r w:rsidRPr="00DE2C32">
              <w:rPr>
                <w:rStyle w:val="Underline"/>
              </w:rPr>
              <w:t>mintrac</w:t>
            </w:r>
            <w:r w:rsidRPr="00DE2C32">
              <w:t>.</w:t>
            </w:r>
            <w:r w:rsidRPr="00DE2C32">
              <w:rPr>
                <w:rStyle w:val="Underline"/>
              </w:rPr>
              <w:t>com</w:t>
            </w:r>
            <w:r w:rsidRPr="00DE2C32">
              <w:t>.</w:t>
            </w:r>
            <w:r w:rsidRPr="00DE2C32">
              <w:rPr>
                <w:rStyle w:val="Underline"/>
              </w:rPr>
              <w:t>au</w:t>
            </w:r>
            <w:r w:rsidRPr="00DE2C32">
              <w:t xml:space="preserve">  or telephone 1800 817 462.</w:t>
            </w:r>
          </w:p>
        </w:tc>
      </w:tr>
    </w:tbl>
    <w:p w:rsidR="00942110" w:rsidP="00DE2C32">
      <w:pPr>
        <w:pStyle w:val="BodyText"/>
      </w:pPr>
    </w:p>
    <w:p w:rsidR="00942110" w:rsidP="00DE2C32">
      <w:pPr>
        <w:pStyle w:val="BodyText"/>
      </w:pPr>
    </w:p>
    <w:p w:rsidR="00000000" w:rsidRPr="00DE2C32" w:rsidP="00DE2C32">
      <w:pPr>
        <w:pStyle w:val="Heading1"/>
      </w:pPr>
      <w:bookmarkStart w:id="11" w:name="O_335625"/>
      <w:bookmarkEnd w:id="11"/>
      <w:r w:rsidRPr="00DE2C32">
        <w:t>Range Statement</w:t>
      </w:r>
    </w:p>
    <w:tbl>
      <w:tblPr>
        <w:tblW w:w="0" w:type="auto"/>
        <w:tblLayout w:type="fixed"/>
        <w:tblCellMar>
          <w:left w:w="62" w:type="dxa"/>
          <w:right w:w="62" w:type="dxa"/>
        </w:tblCellMar>
        <w:tblLook w:val="0000"/>
      </w:tblPr>
      <w:tblGrid>
        <w:gridCol w:w="3509"/>
        <w:gridCol w:w="5013"/>
      </w:tblGrid>
      <w:tr w:rsidTr="009421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RANGE STATEMENT</w:t>
            </w:r>
          </w:p>
        </w:tc>
      </w:tr>
      <w:tr w:rsidTr="009421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t>The range statement relates to the unit of competency as a whole. It allows for different work environments and situations that may affect performance. Bold italicised wording, if used in the performance criteria, is detailed below. Essential operating con</w:t>
            </w:r>
            <w:r w:rsidRPr="00DE2C32">
              <w:t>ditions that may be present with training and assessment (depending on the work situation, needs of the candidate, accessibility of the item, and local industry and regional contexts) may also be included.</w:t>
            </w:r>
          </w:p>
        </w:tc>
      </w:tr>
      <w:tr w:rsidTr="0094211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t xml:space="preserve">Essential </w:t>
            </w:r>
            <w:r w:rsidRPr="00DE2C32">
              <w:rPr>
                <w:rStyle w:val="BoldandItalics"/>
              </w:rPr>
              <w:t>operating</w:t>
            </w:r>
            <w:r w:rsidRPr="00DE2C32">
              <w:t xml:space="preserve"> conditions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ListBullet"/>
            </w:pPr>
            <w:r w:rsidRPr="00DE2C32">
              <w:t>calibra</w:t>
            </w:r>
            <w:r w:rsidRPr="00DE2C32">
              <w:t>ted pH equipment</w:t>
            </w:r>
          </w:p>
          <w:p w:rsidR="00000000" w:rsidP="00DE2C32">
            <w:pPr>
              <w:pStyle w:val="ListBullet"/>
              <w:rPr>
                <w:lang w:val="en-NZ"/>
              </w:rPr>
            </w:pPr>
            <w:r w:rsidRPr="00DE2C32">
              <w:t>carcases to be used must be followed across slaughter floor and into chiller.</w:t>
            </w:r>
          </w:p>
        </w:tc>
      </w:tr>
      <w:tr w:rsidTr="0094211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BoldandItalics"/>
              </w:rPr>
              <w:t>pH equipment</w:t>
            </w:r>
            <w:r w:rsidRPr="00DE2C32">
              <w:t xml:space="preserve"> will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ListBullet"/>
            </w:pPr>
            <w:r w:rsidRPr="00DE2C32">
              <w:t>buffer solutions of a known pH  (one at 6.88 and one at 4.00)</w:t>
            </w:r>
          </w:p>
          <w:p w:rsidR="00000000" w:rsidRPr="00DE2C32" w:rsidP="00DE2C32">
            <w:pPr>
              <w:pStyle w:val="ListBullet"/>
            </w:pPr>
            <w:r w:rsidRPr="00DE2C32">
              <w:t>certified mercury in a glass thermometer</w:t>
            </w:r>
          </w:p>
          <w:p w:rsidR="00000000" w:rsidRPr="00DE2C32" w:rsidP="00DE2C32">
            <w:pPr>
              <w:pStyle w:val="ListBullet"/>
            </w:pPr>
            <w:r w:rsidRPr="00DE2C32">
              <w:t>icy water (approximately 0°C)</w:t>
            </w:r>
          </w:p>
          <w:p w:rsidR="00000000" w:rsidRPr="00DE2C32" w:rsidP="00DE2C32">
            <w:pPr>
              <w:pStyle w:val="ListBullet"/>
            </w:pPr>
            <w:r w:rsidRPr="00DE2C32">
              <w:t>pH meters and probes</w:t>
            </w:r>
          </w:p>
          <w:p w:rsidR="00000000" w:rsidRPr="00DE2C32" w:rsidP="00DE2C32">
            <w:pPr>
              <w:pStyle w:val="ListBullet"/>
            </w:pPr>
            <w:r w:rsidRPr="00DE2C32">
              <w:t>potassium chloride solution or gel</w:t>
            </w:r>
          </w:p>
          <w:p w:rsidR="00000000" w:rsidP="00DE2C32">
            <w:pPr>
              <w:pStyle w:val="ListBullet"/>
              <w:rPr>
                <w:lang w:val="en-NZ"/>
              </w:rPr>
            </w:pPr>
            <w:r w:rsidRPr="00DE2C32">
              <w:t>water (approximately 40°C).</w:t>
            </w:r>
          </w:p>
        </w:tc>
      </w:tr>
      <w:tr w:rsidTr="0094211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BoldandItalics"/>
              </w:rPr>
              <w:t>Communication skills</w:t>
            </w:r>
            <w:r w:rsidRPr="00DE2C3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ListBullet"/>
            </w:pPr>
            <w:r w:rsidRPr="00DE2C32">
              <w:t>listening and understanding</w:t>
            </w:r>
          </w:p>
          <w:p w:rsidR="00000000" w:rsidRPr="00DE2C32" w:rsidP="00DE2C32">
            <w:pPr>
              <w:pStyle w:val="ListBullet"/>
            </w:pPr>
            <w:r w:rsidRPr="00DE2C32">
              <w:t>speaking clearly and directly</w:t>
            </w:r>
          </w:p>
          <w:p w:rsidR="00000000" w:rsidRPr="00DE2C32" w:rsidP="00DE2C32">
            <w:pPr>
              <w:pStyle w:val="ListBullet"/>
            </w:pPr>
            <w:r w:rsidRPr="00DE2C32">
              <w:t>reading and interpreting workplace-related documentation</w:t>
            </w:r>
          </w:p>
          <w:p w:rsidR="00000000" w:rsidRPr="00DE2C32" w:rsidP="00DE2C32">
            <w:pPr>
              <w:pStyle w:val="ListBullet"/>
            </w:pPr>
            <w:r w:rsidRPr="00DE2C32">
              <w:t>sharing information</w:t>
            </w:r>
          </w:p>
          <w:p w:rsidR="00000000" w:rsidRPr="00DE2C32" w:rsidP="00DE2C32">
            <w:pPr>
              <w:pStyle w:val="ListBullet"/>
            </w:pPr>
            <w:r w:rsidRPr="00DE2C32">
              <w:t>using negotiation, persuasion and assertiveness skills</w:t>
            </w:r>
          </w:p>
          <w:p w:rsidR="00000000" w:rsidP="00DE2C32">
            <w:pPr>
              <w:pStyle w:val="ListBullet"/>
              <w:rPr>
                <w:lang w:val="en-NZ"/>
              </w:rPr>
            </w:pPr>
            <w:r w:rsidRPr="00DE2C32">
              <w:t>writing to audience needs.</w:t>
            </w:r>
          </w:p>
        </w:tc>
      </w:tr>
      <w:tr w:rsidTr="0094211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BoldandItalics"/>
              </w:rPr>
              <w:t>Mathematical skills</w:t>
            </w:r>
            <w:r w:rsidRPr="00DE2C3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ListBullet"/>
              <w:rPr>
                <w:lang w:val="en-NZ"/>
              </w:rPr>
            </w:pPr>
            <w:r w:rsidRPr="00DE2C32">
              <w:t>collection, estimation, calculation and interpretation of deviations within cycle, internal temperature, humidity, ambient temperature, wei</w:t>
            </w:r>
            <w:r w:rsidRPr="00DE2C32">
              <w:t>ghts.</w:t>
            </w:r>
          </w:p>
        </w:tc>
      </w:tr>
      <w:tr w:rsidTr="0094211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BoldandItalics"/>
              </w:rPr>
              <w:t>OH</w:t>
            </w:r>
            <w:r w:rsidRPr="00DE2C32">
              <w:t>&amp;</w:t>
            </w:r>
            <w:r w:rsidRPr="00DE2C32">
              <w:rPr>
                <w:rStyle w:val="BoldandItalics"/>
              </w:rPr>
              <w:t>S</w:t>
            </w:r>
            <w:r w:rsidRPr="00DE2C32">
              <w:t xml:space="preserve"> requirements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ListBullet"/>
            </w:pPr>
            <w:r w:rsidRPr="00DE2C32">
              <w:t>enterprise OH&amp;S policies, procedures and programs</w:t>
            </w:r>
          </w:p>
          <w:p w:rsidR="00000000" w:rsidRPr="00DE2C32" w:rsidP="00DE2C32">
            <w:pPr>
              <w:pStyle w:val="ListBullet"/>
            </w:pPr>
            <w:r w:rsidRPr="00DE2C32">
              <w:t>OH&amp;S legal requirements</w:t>
            </w:r>
          </w:p>
          <w:p w:rsidR="00000000" w:rsidRPr="00DE2C32" w:rsidP="00DE2C32">
            <w:pPr>
              <w:pStyle w:val="ListBullet"/>
            </w:pPr>
            <w:r w:rsidRPr="00DE2C32">
              <w:t>Personal Protective Equipment (PPE) which may include:</w:t>
            </w:r>
          </w:p>
          <w:p w:rsidR="00000000" w:rsidRPr="00DE2C32" w:rsidP="00DE2C32">
            <w:pPr>
              <w:pStyle w:val="ListBullet2"/>
            </w:pPr>
            <w:r w:rsidRPr="00DE2C32">
              <w:t>coat and apron</w:t>
            </w:r>
          </w:p>
          <w:p w:rsidR="00000000" w:rsidRPr="00DE2C32" w:rsidP="00DE2C32">
            <w:pPr>
              <w:pStyle w:val="ListBullet2"/>
            </w:pPr>
            <w:r w:rsidRPr="00DE2C32">
              <w:t>ear plugs or muffs</w:t>
            </w:r>
          </w:p>
          <w:p w:rsidR="00000000" w:rsidRPr="00DE2C32" w:rsidP="00DE2C32">
            <w:pPr>
              <w:pStyle w:val="ListBullet2"/>
            </w:pPr>
            <w:r w:rsidRPr="00DE2C32">
              <w:t>eye and facial protection</w:t>
            </w:r>
          </w:p>
          <w:p w:rsidR="00000000" w:rsidRPr="00DE2C32" w:rsidP="00DE2C32">
            <w:pPr>
              <w:pStyle w:val="ListBullet2"/>
            </w:pPr>
            <w:r w:rsidRPr="00DE2C32">
              <w:t>head-wear</w:t>
            </w:r>
          </w:p>
          <w:p w:rsidR="00000000" w:rsidRPr="00DE2C32" w:rsidP="00DE2C32">
            <w:pPr>
              <w:pStyle w:val="ListBullet2"/>
            </w:pPr>
            <w:r w:rsidRPr="00DE2C32">
              <w:t>lifting assistance</w:t>
            </w:r>
          </w:p>
          <w:p w:rsidR="00000000" w:rsidRPr="00DE2C32" w:rsidP="00DE2C32">
            <w:pPr>
              <w:pStyle w:val="ListBullet2"/>
            </w:pPr>
            <w:r w:rsidRPr="00DE2C32">
              <w:t>mesh apron</w:t>
            </w:r>
          </w:p>
          <w:p w:rsidR="00000000" w:rsidRPr="00DE2C32" w:rsidP="00DE2C32">
            <w:pPr>
              <w:pStyle w:val="ListBullet2"/>
            </w:pPr>
            <w:r w:rsidRPr="00DE2C32">
              <w:t>protective boot covers</w:t>
            </w:r>
          </w:p>
          <w:p w:rsidR="00000000" w:rsidRPr="00DE2C32" w:rsidP="00DE2C32">
            <w:pPr>
              <w:pStyle w:val="ListBullet2"/>
            </w:pPr>
            <w:r w:rsidRPr="00DE2C32">
              <w:t>protective hand and arm covering</w:t>
            </w:r>
          </w:p>
          <w:p w:rsidR="00000000" w:rsidRPr="00DE2C32" w:rsidP="00DE2C32">
            <w:pPr>
              <w:pStyle w:val="ListBullet2"/>
            </w:pPr>
            <w:r w:rsidRPr="00DE2C32">
              <w:t>protective head and hair covering</w:t>
            </w:r>
          </w:p>
          <w:p w:rsidR="00000000" w:rsidRPr="00DE2C32" w:rsidP="00DE2C32">
            <w:pPr>
              <w:pStyle w:val="ListBullet2"/>
            </w:pPr>
            <w:r w:rsidRPr="00DE2C32">
              <w:t>uniforms</w:t>
            </w:r>
          </w:p>
          <w:p w:rsidR="00000000" w:rsidRPr="00DE2C32" w:rsidP="00DE2C32">
            <w:pPr>
              <w:pStyle w:val="ListBullet2"/>
            </w:pPr>
            <w:r w:rsidRPr="00DE2C32">
              <w:t>waterproof clothing</w:t>
            </w:r>
          </w:p>
          <w:p w:rsidR="00000000" w:rsidRPr="00DE2C32" w:rsidP="00DE2C32">
            <w:pPr>
              <w:pStyle w:val="ListBullet2"/>
            </w:pPr>
            <w:r w:rsidRPr="00DE2C32">
              <w:t>work, safety or waterproof footwear</w:t>
            </w:r>
          </w:p>
          <w:p w:rsidR="00000000" w:rsidP="00DE2C32">
            <w:pPr>
              <w:pStyle w:val="ListBullet"/>
              <w:rPr>
                <w:lang w:val="en-NZ"/>
              </w:rPr>
            </w:pPr>
            <w:r w:rsidRPr="00DE2C32">
              <w:t>requirements set out in standards and codes of practice.</w:t>
            </w:r>
          </w:p>
        </w:tc>
      </w:tr>
      <w:tr w:rsidTr="0094211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BoldandItalics"/>
              </w:rPr>
              <w:t>Regulatory</w:t>
            </w:r>
            <w:r w:rsidRPr="00DE2C32">
              <w:t xml:space="preserve"> requirements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ListBullet"/>
            </w:pPr>
            <w:r w:rsidRPr="00DE2C32">
              <w:t>Export Control Act</w:t>
            </w:r>
          </w:p>
          <w:p w:rsidR="00000000" w:rsidRPr="00DE2C32" w:rsidP="00DE2C32">
            <w:pPr>
              <w:pStyle w:val="ListBullet"/>
            </w:pPr>
            <w:r w:rsidRPr="00DE2C32">
              <w:t>hygiene and sanitation requirements</w:t>
            </w:r>
          </w:p>
          <w:p w:rsidR="00000000" w:rsidRPr="00DE2C32" w:rsidP="00DE2C32">
            <w:pPr>
              <w:pStyle w:val="ListBullet"/>
            </w:pPr>
            <w:r w:rsidRPr="00DE2C32">
              <w:t>relevant regulations and Australian Standards</w:t>
            </w:r>
          </w:p>
          <w:p w:rsidR="00000000" w:rsidRPr="00DE2C32" w:rsidP="00DE2C32">
            <w:pPr>
              <w:pStyle w:val="ListBullet"/>
            </w:pPr>
            <w:r w:rsidRPr="00DE2C32">
              <w:t>requirements set out in AS 4696:2007 Australian Standard for Hygienic Production and Transportation of Meat and Meat Products f</w:t>
            </w:r>
            <w:r w:rsidRPr="00DE2C32">
              <w:t>or Human Consumption</w:t>
            </w:r>
          </w:p>
          <w:p w:rsidR="00000000" w:rsidP="00DE2C32">
            <w:pPr>
              <w:pStyle w:val="ListBullet"/>
              <w:rPr>
                <w:lang w:val="en-NZ"/>
              </w:rPr>
            </w:pPr>
            <w:r w:rsidRPr="00DE2C32">
              <w:t>state  and territory regulations regarding meat processing.</w:t>
            </w:r>
          </w:p>
        </w:tc>
      </w:tr>
      <w:tr w:rsidTr="0094211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BoldandItalics"/>
              </w:rPr>
              <w:t>Workplace requirements</w:t>
            </w:r>
            <w:r w:rsidRPr="00DE2C3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ListBullet"/>
            </w:pPr>
            <w:r w:rsidRPr="00DE2C32">
              <w:t>enterprise-specific requirements</w:t>
            </w:r>
          </w:p>
          <w:p w:rsidR="00000000" w:rsidRPr="00DE2C32" w:rsidP="00DE2C32">
            <w:pPr>
              <w:pStyle w:val="ListBullet"/>
            </w:pPr>
            <w:r w:rsidRPr="00DE2C32">
              <w:t>OH&amp;S requirements</w:t>
            </w:r>
          </w:p>
          <w:p w:rsidR="00000000" w:rsidRPr="00DE2C32" w:rsidP="00DE2C32">
            <w:pPr>
              <w:pStyle w:val="ListBullet"/>
            </w:pPr>
            <w:r w:rsidRPr="00DE2C32">
              <w:t>QA requirements</w:t>
            </w:r>
          </w:p>
          <w:p w:rsidR="00000000" w:rsidRPr="00DE2C32" w:rsidP="00DE2C32">
            <w:pPr>
              <w:pStyle w:val="ListBullet"/>
            </w:pPr>
            <w:r w:rsidRPr="00DE2C32">
              <w:t>Standard Operating Procedures (SOPs)</w:t>
            </w:r>
          </w:p>
          <w:p w:rsidR="00000000" w:rsidRPr="00DE2C32" w:rsidP="00DE2C32">
            <w:pPr>
              <w:pStyle w:val="ListBullet"/>
            </w:pPr>
            <w:r w:rsidRPr="00DE2C32">
              <w:t>the ability to perform the task t</w:t>
            </w:r>
            <w:r w:rsidRPr="00DE2C32">
              <w:t>o production requirements</w:t>
            </w:r>
          </w:p>
          <w:p w:rsidR="00000000" w:rsidP="00DE2C32">
            <w:pPr>
              <w:pStyle w:val="ListBullet"/>
              <w:rPr>
                <w:lang w:val="en-NZ"/>
              </w:rPr>
            </w:pPr>
            <w:r w:rsidRPr="00DE2C32">
              <w:t>work instructions.</w:t>
            </w:r>
          </w:p>
        </w:tc>
      </w:tr>
      <w:tr w:rsidTr="0094211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BoldandItalics"/>
              </w:rPr>
              <w:t>MSA standards</w:t>
            </w:r>
            <w:r w:rsidRPr="00DE2C32">
              <w:t xml:space="preserve">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ListBullet"/>
            </w:pPr>
            <w:r w:rsidRPr="00DE2C32">
              <w:t>MSA Standards Manual for Saleyards Consignment</w:t>
            </w:r>
          </w:p>
          <w:p w:rsidR="00000000" w:rsidRPr="00DE2C32" w:rsidP="00DE2C32">
            <w:pPr>
              <w:pStyle w:val="ListBullet"/>
            </w:pPr>
            <w:r w:rsidRPr="00DE2C32">
              <w:t>MSA Standards Manual for Grading</w:t>
            </w:r>
          </w:p>
          <w:p w:rsidR="00000000" w:rsidRPr="00DE2C32" w:rsidP="00DE2C32">
            <w:pPr>
              <w:pStyle w:val="ListBullet"/>
            </w:pPr>
            <w:r w:rsidRPr="00DE2C32">
              <w:t>MSA Standards Manual for Trade Mark Usage</w:t>
            </w:r>
          </w:p>
          <w:p w:rsidR="00000000" w:rsidP="00DE2C32">
            <w:pPr>
              <w:pStyle w:val="ListBullet"/>
              <w:rPr>
                <w:lang w:val="en-NZ"/>
              </w:rPr>
            </w:pPr>
            <w:r w:rsidRPr="00DE2C32">
              <w:t>AUS-MEAT procedure 'Controlled pH Decline System - pH temperature window conformance monitoring'.</w:t>
            </w:r>
          </w:p>
        </w:tc>
      </w:tr>
      <w:tr w:rsidTr="0094211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t xml:space="preserve">Factors impacting on the </w:t>
            </w:r>
            <w:r w:rsidRPr="00DE2C32">
              <w:rPr>
                <w:rStyle w:val="BoldandItalics"/>
              </w:rPr>
              <w:t>rate of pH and temperature decline</w:t>
            </w:r>
            <w:r w:rsidRPr="00DE2C32">
              <w:t xml:space="preserve">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ListBullet"/>
            </w:pPr>
            <w:r w:rsidRPr="00DE2C32">
              <w:t>carcase weight and fat coverage</w:t>
            </w:r>
          </w:p>
          <w:p w:rsidR="00000000" w:rsidRPr="00DE2C32" w:rsidP="00DE2C32">
            <w:pPr>
              <w:pStyle w:val="ListBullet"/>
            </w:pPr>
            <w:r w:rsidRPr="00DE2C32">
              <w:t>chilling cycle</w:t>
            </w:r>
          </w:p>
          <w:p w:rsidR="00000000" w:rsidRPr="00DE2C32" w:rsidP="00DE2C32">
            <w:pPr>
              <w:pStyle w:val="ListBullet"/>
            </w:pPr>
            <w:r w:rsidRPr="00DE2C32">
              <w:t>electrical stimulation and other electri</w:t>
            </w:r>
            <w:r w:rsidRPr="00DE2C32">
              <w:t>cal inputs</w:t>
            </w:r>
          </w:p>
          <w:p w:rsidR="00000000" w:rsidRPr="00DE2C32" w:rsidP="00DE2C32">
            <w:pPr>
              <w:pStyle w:val="ListBullet"/>
            </w:pPr>
            <w:r w:rsidRPr="00DE2C32">
              <w:t>feed type of live animal</w:t>
            </w:r>
          </w:p>
          <w:p w:rsidR="00000000" w:rsidRPr="00DE2C32" w:rsidP="00DE2C32">
            <w:pPr>
              <w:pStyle w:val="ListBullet"/>
            </w:pPr>
            <w:r w:rsidRPr="00DE2C32">
              <w:t>glycogen levels in the live animal</w:t>
            </w:r>
          </w:p>
          <w:p w:rsidR="00000000" w:rsidRPr="00DE2C32" w:rsidP="00DE2C32">
            <w:pPr>
              <w:pStyle w:val="ListBullet"/>
            </w:pPr>
            <w:r w:rsidRPr="00DE2C32">
              <w:t>lairage duration</w:t>
            </w:r>
          </w:p>
          <w:p w:rsidR="00000000" w:rsidRPr="00DE2C32" w:rsidP="00DE2C32">
            <w:pPr>
              <w:pStyle w:val="ListBullet"/>
            </w:pPr>
            <w:r w:rsidRPr="00DE2C32">
              <w:t>length of the processing chain</w:t>
            </w:r>
          </w:p>
          <w:p w:rsidR="00000000" w:rsidRPr="00DE2C32" w:rsidP="00DE2C32">
            <w:pPr>
              <w:pStyle w:val="ListBullet"/>
            </w:pPr>
            <w:r w:rsidRPr="00DE2C32">
              <w:t>seasonal effect</w:t>
            </w:r>
          </w:p>
          <w:p w:rsidR="00000000" w:rsidRPr="00DE2C32" w:rsidP="00DE2C32">
            <w:pPr>
              <w:pStyle w:val="ListBullet"/>
            </w:pPr>
            <w:r w:rsidRPr="00DE2C32">
              <w:t>sources of cattle - direct consignment/saleyard</w:t>
            </w:r>
          </w:p>
          <w:p w:rsidR="00000000" w:rsidRPr="00DE2C32" w:rsidP="00DE2C32">
            <w:pPr>
              <w:pStyle w:val="ListBullet"/>
            </w:pPr>
            <w:r w:rsidRPr="00DE2C32">
              <w:t>temperature of the slaughter floor</w:t>
            </w:r>
          </w:p>
          <w:p w:rsidR="00000000" w:rsidRPr="00DE2C32" w:rsidP="00DE2C32">
            <w:pPr>
              <w:pStyle w:val="ListBullet"/>
            </w:pPr>
            <w:r w:rsidRPr="00DE2C32">
              <w:t>transit type of live animal.</w:t>
            </w:r>
          </w:p>
        </w:tc>
      </w:tr>
    </w:tbl>
    <w:p w:rsidR="00942110" w:rsidP="00DE2C32">
      <w:pPr>
        <w:pStyle w:val="BodyText"/>
      </w:pPr>
    </w:p>
    <w:p w:rsidR="00942110" w:rsidP="00DE2C32">
      <w:pPr>
        <w:pStyle w:val="BodyText"/>
      </w:pPr>
    </w:p>
    <w:p w:rsidR="00000000" w:rsidRPr="00DE2C32" w:rsidP="00DE2C32">
      <w:pPr>
        <w:pStyle w:val="Heading1"/>
      </w:pPr>
      <w:bookmarkStart w:id="12" w:name="O_335628"/>
      <w:bookmarkEnd w:id="12"/>
      <w:r w:rsidRPr="00DE2C32">
        <w:t>Unit Sector(s)</w:t>
      </w:r>
    </w:p>
    <w:tbl>
      <w:tblPr>
        <w:tblW w:w="0" w:type="auto"/>
        <w:tblLayout w:type="fixed"/>
        <w:tblCellMar>
          <w:left w:w="62" w:type="dxa"/>
          <w:right w:w="62" w:type="dxa"/>
        </w:tblCellMar>
        <w:tblLook w:val="0000"/>
      </w:tblPr>
      <w:tblGrid>
        <w:gridCol w:w="2654"/>
        <w:gridCol w:w="5868"/>
      </w:tblGrid>
      <w:tr w:rsidTr="0094211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BodyText"/>
            </w:pPr>
          </w:p>
        </w:tc>
      </w:tr>
    </w:tbl>
    <w:p w:rsidR="00942110" w:rsidP="00DE2C32">
      <w:pPr>
        <w:pStyle w:val="BodyText"/>
      </w:pPr>
    </w:p>
    <w:p w:rsidR="00942110" w:rsidP="00DE2C32">
      <w:pPr>
        <w:pStyle w:val="BodyText"/>
      </w:pPr>
    </w:p>
    <w:p w:rsidR="00000000" w:rsidRPr="00DE2C32" w:rsidP="00DE2C32">
      <w:pPr>
        <w:pStyle w:val="Heading1"/>
      </w:pPr>
      <w:bookmarkStart w:id="13" w:name="O_335617"/>
      <w:bookmarkEnd w:id="13"/>
      <w:r w:rsidRPr="00DE2C32">
        <w:t>Co-requisite units</w:t>
      </w:r>
    </w:p>
    <w:tbl>
      <w:tblPr>
        <w:tblW w:w="0" w:type="auto"/>
        <w:tblLayout w:type="fixed"/>
        <w:tblCellMar>
          <w:left w:w="62" w:type="dxa"/>
          <w:right w:w="62" w:type="dxa"/>
        </w:tblCellMar>
        <w:tblLook w:val="0000"/>
      </w:tblPr>
      <w:tblGrid>
        <w:gridCol w:w="2641"/>
        <w:gridCol w:w="1322"/>
        <w:gridCol w:w="4559"/>
      </w:tblGrid>
      <w:tr w:rsidTr="009421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p>
        </w:tc>
      </w:tr>
      <w:tr w:rsidTr="009421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p>
        </w:tc>
      </w:tr>
      <w:tr w:rsidTr="009421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BodyText"/>
            </w:pPr>
          </w:p>
        </w:tc>
      </w:tr>
    </w:tbl>
    <w:p w:rsidR="00942110" w:rsidP="00DE2C32">
      <w:pPr>
        <w:pStyle w:val="BodyText"/>
      </w:pPr>
    </w:p>
    <w:p w:rsidR="00942110" w:rsidP="00DE2C32">
      <w:pPr>
        <w:pStyle w:val="BodyText"/>
      </w:pPr>
    </w:p>
    <w:p w:rsidR="00000000" w:rsidRPr="00DE2C32" w:rsidP="00DE2C32">
      <w:pPr>
        <w:pStyle w:val="Heading1"/>
      </w:pPr>
      <w:bookmarkStart w:id="14" w:name="O_335616"/>
      <w:bookmarkEnd w:id="14"/>
      <w:r w:rsidRPr="00DE2C32">
        <w:t>Competency field</w:t>
      </w:r>
    </w:p>
    <w:tbl>
      <w:tblPr>
        <w:tblW w:w="0" w:type="auto"/>
        <w:tblLayout w:type="fixed"/>
        <w:tblCellMar>
          <w:left w:w="62" w:type="dxa"/>
          <w:right w:w="62" w:type="dxa"/>
        </w:tblCellMar>
        <w:tblLook w:val="0000"/>
      </w:tblPr>
      <w:tblGrid>
        <w:gridCol w:w="2784"/>
        <w:gridCol w:w="5738"/>
      </w:tblGrid>
      <w:tr w:rsidTr="009421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C32">
            <w:pPr>
              <w:pStyle w:val="BodyText"/>
              <w:rPr>
                <w:lang w:val="en-NZ"/>
              </w:rPr>
            </w:pPr>
            <w:r w:rsidRPr="00DE2C3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C32" w:rsidP="00DE2C32">
            <w:pPr>
              <w:pStyle w:val="BodyText"/>
            </w:pPr>
          </w:p>
        </w:tc>
      </w:tr>
    </w:tbl>
    <w:p w:rsidR="00942110" w:rsidP="00DE2C32">
      <w:pPr>
        <w:pStyle w:val="BodyText"/>
      </w:pPr>
    </w:p>
    <w:p w:rsidR="00942110" w:rsidP="00DE2C32">
      <w:pPr>
        <w:pStyle w:val="BodyText"/>
      </w:pPr>
    </w:p>
    <w:p w:rsidR="00000000" w:rsidRPr="00DE2C32" w:rsidP="00DE2C32"/>
    <w:sectPr w:rsidSect="00DE2C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32" w:rsidRPr="00942110" w:rsidP="00942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110" w:rsidP="00DE2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42110" w:rsidP="00DE2C3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942110" w:rsidP="00DE2C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32" w:rsidRPr="00942110" w:rsidP="009421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110" w:rsidRPr="002D2AF8" w:rsidP="00DE2C32">
    <w:pPr>
      <w:pStyle w:val="Header"/>
      <w:framePr w:wrap="around"/>
    </w:pPr>
    <w:r>
      <w:fldChar w:fldCharType="begin"/>
    </w:r>
    <w:r>
      <w:instrText xml:space="preserve"> TITLE   \* MERGEFORMAT </w:instrText>
    </w:r>
    <w:r>
      <w:fldChar w:fldCharType="separate"/>
    </w:r>
    <w:r>
      <w:t>MTMP405B Conduct and validate pH/temperature declines to Meat Standards Australia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942110" w:rsidP="00DE2C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968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3E29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7E7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C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C32"/>
    <w:pPr>
      <w:spacing w:before="360" w:after="60"/>
      <w:outlineLvl w:val="0"/>
    </w:pPr>
    <w:rPr>
      <w:sz w:val="32"/>
    </w:rPr>
  </w:style>
  <w:style w:type="paragraph" w:styleId="Heading2">
    <w:name w:val="heading 2"/>
    <w:basedOn w:val="HeadingBase"/>
    <w:next w:val="BodyText"/>
    <w:link w:val="Heading2Char"/>
    <w:qFormat/>
    <w:rsid w:val="00DE2C32"/>
    <w:pPr>
      <w:keepLines/>
      <w:spacing w:before="240" w:after="120"/>
      <w:outlineLvl w:val="1"/>
    </w:pPr>
    <w:rPr>
      <w:sz w:val="28"/>
      <w:szCs w:val="40"/>
    </w:rPr>
  </w:style>
  <w:style w:type="paragraph" w:styleId="Heading3">
    <w:name w:val="heading 3"/>
    <w:basedOn w:val="HeadingBase"/>
    <w:next w:val="BodyText"/>
    <w:link w:val="Heading3Char"/>
    <w:qFormat/>
    <w:rsid w:val="00DE2C32"/>
    <w:pPr>
      <w:spacing w:before="180" w:after="120"/>
      <w:outlineLvl w:val="2"/>
    </w:pPr>
    <w:rPr>
      <w:spacing w:val="-10"/>
      <w:kern w:val="32"/>
    </w:rPr>
  </w:style>
  <w:style w:type="paragraph" w:styleId="Heading4">
    <w:name w:val="heading 4"/>
    <w:basedOn w:val="HeadingBase"/>
    <w:next w:val="BodyText"/>
    <w:link w:val="Heading4Char"/>
    <w:qFormat/>
    <w:rsid w:val="00DE2C32"/>
    <w:pPr>
      <w:spacing w:before="160" w:after="120"/>
      <w:outlineLvl w:val="3"/>
    </w:pPr>
    <w:rPr>
      <w:sz w:val="22"/>
    </w:rPr>
  </w:style>
  <w:style w:type="paragraph" w:styleId="Heading5">
    <w:name w:val="heading 5"/>
    <w:basedOn w:val="HeadingBase"/>
    <w:next w:val="Normal"/>
    <w:link w:val="Heading5Char"/>
    <w:qFormat/>
    <w:rsid w:val="00DE2C32"/>
    <w:pPr>
      <w:spacing w:before="80"/>
      <w:outlineLvl w:val="4"/>
    </w:pPr>
    <w:rPr>
      <w:color w:val="918585"/>
      <w:sz w:val="20"/>
    </w:rPr>
  </w:style>
  <w:style w:type="paragraph" w:styleId="Heading6">
    <w:name w:val="heading 6"/>
    <w:basedOn w:val="HeadingBase"/>
    <w:next w:val="Normal"/>
    <w:link w:val="Heading6Char"/>
    <w:qFormat/>
    <w:rsid w:val="00DE2C32"/>
    <w:pPr>
      <w:spacing w:before="60"/>
      <w:outlineLvl w:val="5"/>
    </w:pPr>
    <w:rPr>
      <w:color w:val="918585"/>
      <w:sz w:val="20"/>
    </w:rPr>
  </w:style>
  <w:style w:type="paragraph" w:styleId="Heading7">
    <w:name w:val="heading 7"/>
    <w:basedOn w:val="Normal"/>
    <w:next w:val="Normal"/>
    <w:link w:val="Heading7Char"/>
    <w:qFormat/>
    <w:rsid w:val="00DE2C32"/>
    <w:pPr>
      <w:ind w:left="720"/>
      <w:outlineLvl w:val="6"/>
    </w:pPr>
    <w:rPr>
      <w:i/>
    </w:rPr>
  </w:style>
  <w:style w:type="paragraph" w:styleId="Heading8">
    <w:name w:val="heading 8"/>
    <w:basedOn w:val="Normal"/>
    <w:next w:val="Normal"/>
    <w:link w:val="Heading8Char"/>
    <w:qFormat/>
    <w:rsid w:val="00DE2C32"/>
    <w:pPr>
      <w:ind w:left="720"/>
      <w:outlineLvl w:val="7"/>
    </w:pPr>
    <w:rPr>
      <w:i/>
    </w:rPr>
  </w:style>
  <w:style w:type="paragraph" w:styleId="Heading9">
    <w:name w:val="heading 9"/>
    <w:basedOn w:val="Normal"/>
    <w:next w:val="Normal"/>
    <w:link w:val="Heading9Char"/>
    <w:qFormat/>
    <w:rsid w:val="00DE2C32"/>
    <w:pPr>
      <w:ind w:left="720"/>
      <w:outlineLvl w:val="8"/>
    </w:pPr>
    <w:rPr>
      <w:i/>
    </w:rPr>
  </w:style>
  <w:style w:type="character" w:default="1" w:styleId="DefaultParagraphFont">
    <w:name w:val="Default Paragraph Font"/>
    <w:uiPriority w:val="1"/>
    <w:unhideWhenUsed/>
    <w:rsid w:val="00DE2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C32"/>
  </w:style>
  <w:style w:type="character" w:customStyle="1" w:styleId="Heading1Char">
    <w:name w:val="Heading 1 Char"/>
    <w:basedOn w:val="DefaultParagraphFont"/>
    <w:link w:val="Heading1"/>
    <w:rsid w:val="00DE2C32"/>
    <w:rPr>
      <w:rFonts w:ascii="Times New Roman" w:eastAsia="Times New Roman" w:hAnsi="Times New Roman" w:cs="Times New Roman"/>
      <w:b/>
      <w:sz w:val="32"/>
      <w:szCs w:val="20"/>
      <w:lang w:eastAsia="en-US"/>
    </w:rPr>
  </w:style>
  <w:style w:type="paragraph" w:styleId="BodyText">
    <w:name w:val="Body Text"/>
    <w:basedOn w:val="Normal"/>
    <w:link w:val="BodyTextChar"/>
    <w:rsid w:val="00DE2C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2C32"/>
    <w:rPr>
      <w:rFonts w:ascii="Times New Roman" w:eastAsia="Times New Roman" w:hAnsi="Times New Roman" w:cs="Times New Roman"/>
      <w:sz w:val="24"/>
      <w:lang w:eastAsia="en-US"/>
    </w:rPr>
  </w:style>
  <w:style w:type="paragraph" w:styleId="List">
    <w:name w:val="List"/>
    <w:basedOn w:val="BodyText"/>
    <w:next w:val="BodyText"/>
    <w:rsid w:val="00DE2C32"/>
    <w:pPr>
      <w:tabs>
        <w:tab w:val="left" w:pos="340"/>
      </w:tabs>
      <w:spacing w:before="60" w:after="60"/>
      <w:ind w:left="340" w:hanging="340"/>
    </w:pPr>
  </w:style>
  <w:style w:type="paragraph" w:styleId="ListBullet">
    <w:name w:val="List Bullet"/>
    <w:basedOn w:val="List"/>
    <w:rsid w:val="00DE2C32"/>
    <w:pPr>
      <w:numPr>
        <w:numId w:val="13"/>
      </w:numPr>
      <w:tabs>
        <w:tab w:val="clear" w:pos="340"/>
      </w:tabs>
      <w:spacing w:before="40" w:after="40"/>
    </w:pPr>
  </w:style>
  <w:style w:type="character" w:customStyle="1" w:styleId="SpecialBold">
    <w:name w:val="Special Bold"/>
    <w:basedOn w:val="DefaultParagraphFont"/>
    <w:rsid w:val="00DE2C32"/>
    <w:rPr>
      <w:b/>
      <w:spacing w:val="0"/>
    </w:rPr>
  </w:style>
  <w:style w:type="paragraph" w:styleId="ListBullet2">
    <w:name w:val="List Bullet 2"/>
    <w:basedOn w:val="List2"/>
    <w:rsid w:val="00DE2C32"/>
    <w:pPr>
      <w:numPr>
        <w:numId w:val="14"/>
      </w:numPr>
      <w:tabs>
        <w:tab w:val="clear" w:pos="680"/>
      </w:tabs>
    </w:pPr>
  </w:style>
  <w:style w:type="paragraph" w:customStyle="1" w:styleId="SuperHeading">
    <w:name w:val="SuperHeading"/>
    <w:basedOn w:val="Normal"/>
    <w:rsid w:val="00DE2C32"/>
    <w:pPr>
      <w:spacing w:before="240" w:after="120"/>
      <w:outlineLvl w:val="0"/>
    </w:pPr>
    <w:rPr>
      <w:rFonts w:ascii="Times New Roman" w:hAnsi="Times New Roman"/>
      <w:b/>
      <w:sz w:val="32"/>
    </w:rPr>
  </w:style>
  <w:style w:type="paragraph" w:customStyle="1" w:styleId="AllowPageBreak">
    <w:name w:val="AllowPageBreak"/>
    <w:rsid w:val="00DE2C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2C32"/>
    <w:pPr>
      <w:tabs>
        <w:tab w:val="left" w:pos="680"/>
      </w:tabs>
      <w:spacing w:before="60" w:after="60"/>
      <w:ind w:left="680" w:hanging="340"/>
    </w:pPr>
  </w:style>
  <w:style w:type="character" w:customStyle="1" w:styleId="Underline">
    <w:name w:val="Underline"/>
    <w:basedOn w:val="DefaultParagraphFont"/>
    <w:qFormat/>
    <w:rsid w:val="00DE2C32"/>
    <w:rPr>
      <w:u w:val="single"/>
    </w:rPr>
  </w:style>
  <w:style w:type="character" w:customStyle="1" w:styleId="BoldandItalics">
    <w:name w:val="Bold and Italics"/>
    <w:qFormat/>
    <w:rsid w:val="00DE2C32"/>
    <w:rPr>
      <w:b/>
      <w:i/>
      <w:u w:val="none"/>
    </w:rPr>
  </w:style>
  <w:style w:type="character" w:customStyle="1" w:styleId="Heading2Char">
    <w:name w:val="Heading 2 Char"/>
    <w:basedOn w:val="DefaultParagraphFont"/>
    <w:link w:val="Heading2"/>
    <w:rsid w:val="00DE2C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C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C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C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C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C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C32"/>
    <w:rPr>
      <w:rFonts w:ascii="Courier New" w:eastAsia="Times New Roman" w:hAnsi="Courier New" w:cs="Times New Roman"/>
      <w:i/>
      <w:szCs w:val="20"/>
      <w:lang w:eastAsia="en-US"/>
    </w:rPr>
  </w:style>
  <w:style w:type="paragraph" w:customStyle="1" w:styleId="HeadingBase">
    <w:name w:val="Heading Base"/>
    <w:rsid w:val="00DE2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C32"/>
    <w:pPr>
      <w:tabs>
        <w:tab w:val="right" w:leader="dot" w:pos="9072"/>
      </w:tabs>
      <w:ind w:left="567"/>
    </w:pPr>
    <w:rPr>
      <w:szCs w:val="22"/>
    </w:rPr>
  </w:style>
  <w:style w:type="paragraph" w:customStyle="1" w:styleId="TOCBase">
    <w:name w:val="TOC Base"/>
    <w:rsid w:val="00DE2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C32"/>
    <w:pPr>
      <w:tabs>
        <w:tab w:val="right" w:leader="dot" w:pos="9072"/>
      </w:tabs>
      <w:spacing w:before="40" w:after="40"/>
      <w:ind w:left="284"/>
    </w:pPr>
    <w:rPr>
      <w:rFonts w:ascii="Times New Roman" w:hAnsi="Times New Roman"/>
    </w:rPr>
  </w:style>
  <w:style w:type="paragraph" w:styleId="TOC1">
    <w:name w:val="toc 1"/>
    <w:basedOn w:val="TOCBase"/>
    <w:next w:val="Normal"/>
    <w:rsid w:val="00DE2C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2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C32"/>
    <w:rPr>
      <w:rFonts w:ascii="Times New Roman" w:eastAsia="Times New Roman" w:hAnsi="Times New Roman" w:cs="Times New Roman"/>
      <w:sz w:val="16"/>
      <w:lang w:eastAsia="en-US"/>
    </w:rPr>
  </w:style>
  <w:style w:type="paragraph" w:styleId="Title">
    <w:name w:val="Title"/>
    <w:basedOn w:val="HeadingBase"/>
    <w:link w:val="TitleChar"/>
    <w:qFormat/>
    <w:rsid w:val="00DE2C32"/>
    <w:pPr>
      <w:spacing w:before="5040"/>
      <w:jc w:val="center"/>
    </w:pPr>
    <w:rPr>
      <w:sz w:val="48"/>
      <w:szCs w:val="72"/>
      <w:lang w:val="en-US"/>
    </w:rPr>
  </w:style>
  <w:style w:type="character" w:customStyle="1" w:styleId="TitleChar">
    <w:name w:val="Title Char"/>
    <w:basedOn w:val="DefaultParagraphFont"/>
    <w:link w:val="Title"/>
    <w:rsid w:val="00DE2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C32"/>
    <w:pPr>
      <w:tabs>
        <w:tab w:val="left" w:pos="3600"/>
        <w:tab w:val="left" w:pos="3958"/>
      </w:tabs>
    </w:pPr>
  </w:style>
  <w:style w:type="paragraph" w:customStyle="1" w:styleId="Note">
    <w:name w:val="Note"/>
    <w:basedOn w:val="BodyText"/>
    <w:rsid w:val="00DE2C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C32"/>
    <w:pPr>
      <w:framePr w:wrap="auto" w:hAnchor="text" w:y="6049"/>
    </w:pPr>
    <w:rPr>
      <w:color w:val="000000"/>
      <w:sz w:val="40"/>
    </w:rPr>
  </w:style>
  <w:style w:type="paragraph" w:customStyle="1" w:styleId="TOCTitle">
    <w:name w:val="TOCTitle"/>
    <w:basedOn w:val="Heading1"/>
    <w:rsid w:val="00DE2C32"/>
    <w:pPr>
      <w:spacing w:after="240"/>
      <w:jc w:val="center"/>
      <w:outlineLvl w:val="9"/>
    </w:pPr>
    <w:rPr>
      <w:caps/>
    </w:rPr>
  </w:style>
  <w:style w:type="paragraph" w:customStyle="1" w:styleId="Version">
    <w:name w:val="Version"/>
    <w:rsid w:val="00DE2C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C32"/>
    <w:pPr>
      <w:keepNext w:val="0"/>
      <w:tabs>
        <w:tab w:val="right" w:pos="4176"/>
      </w:tabs>
      <w:ind w:left="198" w:hanging="198"/>
    </w:pPr>
    <w:rPr>
      <w:rFonts w:ascii="Garamond" w:hAnsi="Garamond"/>
    </w:rPr>
  </w:style>
  <w:style w:type="paragraph" w:styleId="IndexHeading">
    <w:name w:val="index heading"/>
    <w:basedOn w:val="Normal"/>
    <w:next w:val="Index1"/>
    <w:semiHidden/>
    <w:rsid w:val="00DE2C32"/>
    <w:pPr>
      <w:spacing w:before="120" w:after="120"/>
    </w:pPr>
    <w:rPr>
      <w:rFonts w:ascii="Arial" w:hAnsi="Arial"/>
      <w:b/>
      <w:color w:val="918585"/>
      <w:sz w:val="24"/>
    </w:rPr>
  </w:style>
  <w:style w:type="paragraph" w:styleId="Header">
    <w:name w:val="header"/>
    <w:basedOn w:val="Normal"/>
    <w:link w:val="HeaderChar"/>
    <w:rsid w:val="00DE2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C32"/>
    <w:rPr>
      <w:rFonts w:ascii="Times New Roman" w:eastAsia="Times New Roman" w:hAnsi="Times New Roman" w:cs="Times New Roman"/>
      <w:sz w:val="16"/>
      <w:szCs w:val="20"/>
      <w:lang w:val="en-GB" w:eastAsia="en-US"/>
    </w:rPr>
  </w:style>
  <w:style w:type="paragraph" w:customStyle="1" w:styleId="Chapter">
    <w:name w:val="Chapter"/>
    <w:basedOn w:val="Normal"/>
    <w:rsid w:val="00DE2C32"/>
    <w:pPr>
      <w:spacing w:before="240"/>
    </w:pPr>
    <w:rPr>
      <w:rFonts w:ascii="Times New Roman" w:hAnsi="Times New Roman"/>
      <w:smallCaps/>
      <w:spacing w:val="80"/>
      <w:sz w:val="28"/>
    </w:rPr>
  </w:style>
  <w:style w:type="paragraph" w:customStyle="1" w:styleId="InChapter">
    <w:name w:val="InChapter"/>
    <w:basedOn w:val="Heading3"/>
    <w:rsid w:val="00DE2C32"/>
    <w:pPr>
      <w:spacing w:after="240"/>
      <w:outlineLvl w:val="9"/>
    </w:pPr>
    <w:rPr>
      <w:noProof/>
    </w:rPr>
  </w:style>
  <w:style w:type="paragraph" w:styleId="Index2">
    <w:name w:val="index 2"/>
    <w:basedOn w:val="Normal"/>
    <w:next w:val="Normal"/>
    <w:semiHidden/>
    <w:rsid w:val="00DE2C32"/>
    <w:pPr>
      <w:tabs>
        <w:tab w:val="right" w:pos="4176"/>
      </w:tabs>
      <w:ind w:left="568" w:hanging="284"/>
    </w:pPr>
    <w:rPr>
      <w:rFonts w:ascii="Garamond" w:hAnsi="Garamond"/>
    </w:rPr>
  </w:style>
  <w:style w:type="paragraph" w:customStyle="1" w:styleId="Byline">
    <w:name w:val="Byline"/>
    <w:rsid w:val="00DE2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C32"/>
    <w:pPr>
      <w:tabs>
        <w:tab w:val="clear" w:pos="3600"/>
        <w:tab w:val="clear" w:pos="3958"/>
      </w:tabs>
      <w:jc w:val="right"/>
    </w:pPr>
  </w:style>
  <w:style w:type="character" w:styleId="Emphasis">
    <w:name w:val="Emphasis"/>
    <w:basedOn w:val="DefaultParagraphFont"/>
    <w:qFormat/>
    <w:rsid w:val="00DE2C32"/>
    <w:rPr>
      <w:i/>
    </w:rPr>
  </w:style>
  <w:style w:type="paragraph" w:styleId="Caption">
    <w:name w:val="caption"/>
    <w:basedOn w:val="BodyText"/>
    <w:next w:val="Normal"/>
    <w:qFormat/>
    <w:rsid w:val="00DE2C32"/>
    <w:pPr>
      <w:framePr w:w="2268" w:hSpace="181" w:vSpace="181" w:wrap="around" w:vAnchor="text" w:hAnchor="page" w:x="1135" w:y="285" w:anchorLock="1"/>
    </w:pPr>
    <w:rPr>
      <w:i/>
    </w:rPr>
  </w:style>
  <w:style w:type="paragraph" w:customStyle="1" w:styleId="MiniTOCTitle">
    <w:name w:val="MiniTOCTitle"/>
    <w:basedOn w:val="Heading4"/>
    <w:rsid w:val="00DE2C32"/>
    <w:pPr>
      <w:spacing w:before="240"/>
      <w:outlineLvl w:val="9"/>
    </w:pPr>
    <w:rPr>
      <w:noProof/>
      <w:sz w:val="24"/>
    </w:rPr>
  </w:style>
  <w:style w:type="paragraph" w:customStyle="1" w:styleId="MiniTOCItem">
    <w:name w:val="MiniTOCItem"/>
    <w:basedOn w:val="ListBullet"/>
    <w:rsid w:val="00DE2C32"/>
    <w:pPr>
      <w:numPr>
        <w:numId w:val="0"/>
      </w:numPr>
      <w:tabs>
        <w:tab w:val="right" w:leader="dot" w:pos="6521"/>
      </w:tabs>
      <w:spacing w:before="0" w:after="0"/>
    </w:pPr>
  </w:style>
  <w:style w:type="paragraph" w:customStyle="1" w:styleId="TOFTitle">
    <w:name w:val="TOFTitle"/>
    <w:basedOn w:val="TOCTitle"/>
    <w:rsid w:val="00DE2C32"/>
  </w:style>
  <w:style w:type="paragraph" w:styleId="TableofFigures">
    <w:name w:val="table of figures"/>
    <w:basedOn w:val="Normal"/>
    <w:next w:val="Normal"/>
    <w:semiHidden/>
    <w:rsid w:val="00DE2C32"/>
    <w:pPr>
      <w:tabs>
        <w:tab w:val="right" w:leader="dot" w:pos="9072"/>
      </w:tabs>
      <w:ind w:left="970" w:hanging="403"/>
    </w:pPr>
    <w:rPr>
      <w:rFonts w:ascii="Times New Roman" w:hAnsi="Times New Roman"/>
      <w:b/>
    </w:rPr>
  </w:style>
  <w:style w:type="paragraph" w:styleId="ListNumber">
    <w:name w:val="List Number"/>
    <w:basedOn w:val="List"/>
    <w:rsid w:val="00DE2C32"/>
    <w:pPr>
      <w:numPr>
        <w:numId w:val="11"/>
      </w:numPr>
    </w:pPr>
  </w:style>
  <w:style w:type="character" w:customStyle="1" w:styleId="WingdingSymbols">
    <w:name w:val="Wingding Symbols"/>
    <w:rsid w:val="00DE2C32"/>
    <w:rPr>
      <w:rFonts w:ascii="Wingdings" w:hAnsi="Wingdings"/>
    </w:rPr>
  </w:style>
  <w:style w:type="paragraph" w:customStyle="1" w:styleId="TableHeading">
    <w:name w:val="Table Heading"/>
    <w:basedOn w:val="HeadingBase"/>
    <w:rsid w:val="00DE2C32"/>
    <w:pPr>
      <w:keepLines/>
      <w:pBdr>
        <w:bottom w:val="single" w:sz="6" w:space="1" w:color="918585"/>
      </w:pBdr>
      <w:spacing w:before="240"/>
    </w:pPr>
  </w:style>
  <w:style w:type="character" w:customStyle="1" w:styleId="HotSpot">
    <w:name w:val="HotSpot"/>
    <w:rsid w:val="00DE2C32"/>
    <w:rPr>
      <w:color w:val="0033CC"/>
      <w:u w:val="none"/>
    </w:rPr>
  </w:style>
  <w:style w:type="paragraph" w:customStyle="1" w:styleId="BodyTextRight">
    <w:name w:val="Body Text Right"/>
    <w:basedOn w:val="BodyText"/>
    <w:rsid w:val="00DE2C32"/>
    <w:pPr>
      <w:spacing w:before="0" w:after="0"/>
      <w:jc w:val="right"/>
    </w:pPr>
  </w:style>
  <w:style w:type="paragraph" w:styleId="Index3">
    <w:name w:val="index 3"/>
    <w:basedOn w:val="ListNumber2"/>
    <w:next w:val="Normal"/>
    <w:semiHidden/>
    <w:rsid w:val="00DE2C32"/>
    <w:pPr>
      <w:numPr>
        <w:numId w:val="0"/>
      </w:numPr>
      <w:tabs>
        <w:tab w:val="right" w:leader="dot" w:pos="4176"/>
      </w:tabs>
    </w:pPr>
  </w:style>
  <w:style w:type="paragraph" w:styleId="ListNumber2">
    <w:name w:val="List Number 2"/>
    <w:basedOn w:val="List2"/>
    <w:rsid w:val="00DE2C32"/>
    <w:pPr>
      <w:numPr>
        <w:numId w:val="10"/>
      </w:numPr>
      <w:tabs>
        <w:tab w:val="clear" w:pos="1060"/>
      </w:tabs>
    </w:pPr>
  </w:style>
  <w:style w:type="paragraph" w:customStyle="1" w:styleId="MarginNote">
    <w:name w:val="Margin Note"/>
    <w:basedOn w:val="BodyText"/>
    <w:rsid w:val="00DE2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C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C32"/>
    <w:rPr>
      <w:sz w:val="32"/>
    </w:rPr>
  </w:style>
  <w:style w:type="paragraph" w:customStyle="1" w:styleId="HeadingProcedure">
    <w:name w:val="Heading Procedure"/>
    <w:basedOn w:val="HeadingBase"/>
    <w:next w:val="Normal"/>
    <w:rsid w:val="00DE2C32"/>
    <w:pPr>
      <w:tabs>
        <w:tab w:val="left" w:pos="0"/>
      </w:tabs>
      <w:spacing w:before="120" w:after="60"/>
    </w:pPr>
    <w:rPr>
      <w:i/>
      <w:color w:val="918585"/>
      <w:sz w:val="22"/>
    </w:rPr>
  </w:style>
  <w:style w:type="paragraph" w:customStyle="1" w:styleId="TableBodyText">
    <w:name w:val="Table Body Text"/>
    <w:basedOn w:val="BodyText"/>
    <w:rsid w:val="00DE2C32"/>
    <w:pPr>
      <w:spacing w:before="60" w:after="60"/>
    </w:pPr>
  </w:style>
  <w:style w:type="paragraph" w:styleId="ListContinue">
    <w:name w:val="List Continue"/>
    <w:basedOn w:val="List"/>
    <w:rsid w:val="00DE2C32"/>
    <w:pPr>
      <w:ind w:firstLine="0"/>
    </w:pPr>
  </w:style>
  <w:style w:type="paragraph" w:customStyle="1" w:styleId="ListNote">
    <w:name w:val="List Note"/>
    <w:basedOn w:val="List"/>
    <w:rsid w:val="00DE2C32"/>
    <w:pPr>
      <w:pBdr>
        <w:top w:val="single" w:sz="6" w:space="2" w:color="918585"/>
        <w:bottom w:val="single" w:sz="6" w:space="2" w:color="918585"/>
      </w:pBdr>
      <w:tabs>
        <w:tab w:val="left" w:pos="1021"/>
      </w:tabs>
      <w:ind w:firstLine="0"/>
    </w:pPr>
  </w:style>
  <w:style w:type="paragraph" w:customStyle="1" w:styleId="Warning">
    <w:name w:val="Warning"/>
    <w:basedOn w:val="BodyText"/>
    <w:rsid w:val="00DE2C32"/>
    <w:pPr>
      <w:shd w:val="clear" w:color="auto" w:fill="D9D9D9"/>
      <w:tabs>
        <w:tab w:val="left" w:pos="992"/>
      </w:tabs>
      <w:ind w:left="119" w:right="119"/>
    </w:pPr>
    <w:rPr>
      <w:sz w:val="20"/>
    </w:rPr>
  </w:style>
  <w:style w:type="paragraph" w:customStyle="1" w:styleId="MarginIcons">
    <w:name w:val="Margin Icons"/>
    <w:basedOn w:val="BodyText"/>
    <w:rsid w:val="00DE2C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C32"/>
    <w:rPr>
      <w:rFonts w:ascii="Courier New" w:hAnsi="Courier New"/>
    </w:rPr>
  </w:style>
  <w:style w:type="paragraph" w:customStyle="1" w:styleId="NoteBullet">
    <w:name w:val="Note Bullet"/>
    <w:basedOn w:val="Note"/>
    <w:rsid w:val="00DE2C32"/>
    <w:pPr>
      <w:tabs>
        <w:tab w:val="clear" w:pos="680"/>
      </w:tabs>
      <w:spacing w:before="60" w:after="60"/>
    </w:pPr>
  </w:style>
  <w:style w:type="paragraph" w:customStyle="1" w:styleId="SubHeading2">
    <w:name w:val="SubHeading2"/>
    <w:basedOn w:val="HeadingBase"/>
    <w:rsid w:val="00DE2C32"/>
    <w:pPr>
      <w:spacing w:before="240" w:after="60"/>
    </w:pPr>
    <w:rPr>
      <w:sz w:val="20"/>
    </w:rPr>
  </w:style>
  <w:style w:type="paragraph" w:customStyle="1" w:styleId="SubHeading1">
    <w:name w:val="SubHeading1"/>
    <w:basedOn w:val="HeadingBase"/>
    <w:rsid w:val="00DE2C32"/>
    <w:pPr>
      <w:spacing w:before="240" w:after="60"/>
    </w:pPr>
    <w:rPr>
      <w:color w:val="918585"/>
      <w:sz w:val="22"/>
    </w:rPr>
  </w:style>
  <w:style w:type="paragraph" w:customStyle="1" w:styleId="SideHeading">
    <w:name w:val="Side Heading"/>
    <w:basedOn w:val="HeadingBase"/>
    <w:rsid w:val="00DE2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C32"/>
    <w:pPr>
      <w:numPr>
        <w:numId w:val="12"/>
      </w:numPr>
    </w:pPr>
  </w:style>
  <w:style w:type="paragraph" w:styleId="PlainText">
    <w:name w:val="Plain Text"/>
    <w:basedOn w:val="Normal"/>
    <w:link w:val="PlainTextChar"/>
    <w:rsid w:val="00DE2C32"/>
    <w:rPr>
      <w:sz w:val="20"/>
    </w:rPr>
  </w:style>
  <w:style w:type="character" w:customStyle="1" w:styleId="PlainTextChar">
    <w:name w:val="Plain Text Char"/>
    <w:basedOn w:val="DefaultParagraphFont"/>
    <w:link w:val="PlainText"/>
    <w:rsid w:val="00DE2C32"/>
    <w:rPr>
      <w:rFonts w:ascii="Courier New" w:eastAsia="Times New Roman" w:hAnsi="Courier New" w:cs="Times New Roman"/>
      <w:sz w:val="20"/>
      <w:szCs w:val="20"/>
      <w:lang w:eastAsia="en-US"/>
    </w:rPr>
  </w:style>
  <w:style w:type="character" w:customStyle="1" w:styleId="MenuOption">
    <w:name w:val="Menu Option"/>
    <w:basedOn w:val="DefaultParagraphFont"/>
    <w:rsid w:val="00DE2C32"/>
    <w:rPr>
      <w:b/>
      <w:smallCaps/>
    </w:rPr>
  </w:style>
  <w:style w:type="paragraph" w:customStyle="1" w:styleId="TableListNumber">
    <w:name w:val="Table List Number"/>
    <w:basedOn w:val="ListNumber"/>
    <w:rsid w:val="00DE2C32"/>
    <w:pPr>
      <w:numPr>
        <w:numId w:val="0"/>
      </w:numPr>
    </w:pPr>
  </w:style>
  <w:style w:type="paragraph" w:styleId="TOC4">
    <w:name w:val="toc 4"/>
    <w:basedOn w:val="TOCBase"/>
    <w:next w:val="Normal"/>
    <w:semiHidden/>
    <w:rsid w:val="00DE2C32"/>
    <w:pPr>
      <w:tabs>
        <w:tab w:val="right" w:leader="dot" w:pos="9071"/>
      </w:tabs>
      <w:ind w:left="1701"/>
    </w:pPr>
  </w:style>
  <w:style w:type="paragraph" w:customStyle="1" w:styleId="ListAlpha">
    <w:name w:val="List Alpha"/>
    <w:basedOn w:val="List"/>
    <w:rsid w:val="00DE2C32"/>
    <w:pPr>
      <w:numPr>
        <w:numId w:val="9"/>
      </w:numPr>
    </w:pPr>
  </w:style>
  <w:style w:type="paragraph" w:customStyle="1" w:styleId="ListAlpha2">
    <w:name w:val="List Alpha 2"/>
    <w:basedOn w:val="List2"/>
    <w:rsid w:val="00DE2C32"/>
    <w:pPr>
      <w:numPr>
        <w:numId w:val="8"/>
      </w:numPr>
    </w:pPr>
  </w:style>
  <w:style w:type="paragraph" w:styleId="List3">
    <w:name w:val="List 3"/>
    <w:basedOn w:val="BodyText"/>
    <w:rsid w:val="00DE2C32"/>
    <w:pPr>
      <w:tabs>
        <w:tab w:val="left" w:pos="1021"/>
      </w:tabs>
      <w:spacing w:before="60" w:after="60"/>
      <w:ind w:left="1020" w:hanging="340"/>
    </w:pPr>
  </w:style>
  <w:style w:type="paragraph" w:styleId="List4">
    <w:name w:val="List 4"/>
    <w:basedOn w:val="BodyText"/>
    <w:rsid w:val="00DE2C32"/>
    <w:pPr>
      <w:tabs>
        <w:tab w:val="left" w:pos="1361"/>
      </w:tabs>
      <w:spacing w:before="60" w:after="60"/>
      <w:ind w:left="1361" w:hanging="340"/>
    </w:pPr>
  </w:style>
  <w:style w:type="paragraph" w:styleId="List5">
    <w:name w:val="List 5"/>
    <w:basedOn w:val="BodyText"/>
    <w:rsid w:val="00DE2C32"/>
    <w:pPr>
      <w:tabs>
        <w:tab w:val="left" w:pos="1701"/>
      </w:tabs>
      <w:spacing w:before="60" w:after="60"/>
      <w:ind w:left="1701" w:hanging="340"/>
    </w:pPr>
  </w:style>
  <w:style w:type="paragraph" w:styleId="ListBullet3">
    <w:name w:val="List Bullet 3"/>
    <w:basedOn w:val="List3"/>
    <w:rsid w:val="00DE2C32"/>
    <w:pPr>
      <w:numPr>
        <w:numId w:val="15"/>
      </w:numPr>
      <w:tabs>
        <w:tab w:val="clear" w:pos="1021"/>
      </w:tabs>
      <w:ind w:left="1037" w:hanging="357"/>
    </w:pPr>
  </w:style>
  <w:style w:type="paragraph" w:styleId="ListBullet4">
    <w:name w:val="List Bullet 4"/>
    <w:basedOn w:val="List4"/>
    <w:rsid w:val="00DE2C32"/>
    <w:pPr>
      <w:numPr>
        <w:numId w:val="3"/>
      </w:numPr>
    </w:pPr>
  </w:style>
  <w:style w:type="paragraph" w:styleId="ListBullet5">
    <w:name w:val="List Bullet 5"/>
    <w:basedOn w:val="List5"/>
    <w:rsid w:val="00DE2C32"/>
    <w:pPr>
      <w:numPr>
        <w:numId w:val="4"/>
      </w:numPr>
    </w:pPr>
  </w:style>
  <w:style w:type="paragraph" w:styleId="ListContinue2">
    <w:name w:val="List Continue 2"/>
    <w:basedOn w:val="List2"/>
    <w:rsid w:val="00DE2C32"/>
    <w:pPr>
      <w:ind w:firstLine="0"/>
    </w:pPr>
  </w:style>
  <w:style w:type="paragraph" w:styleId="ListContinue3">
    <w:name w:val="List Continue 3"/>
    <w:basedOn w:val="List3"/>
    <w:rsid w:val="00DE2C32"/>
    <w:pPr>
      <w:ind w:left="1021" w:firstLine="0"/>
    </w:pPr>
  </w:style>
  <w:style w:type="paragraph" w:styleId="ListContinue4">
    <w:name w:val="List Continue 4"/>
    <w:basedOn w:val="List4"/>
    <w:rsid w:val="00DE2C32"/>
    <w:pPr>
      <w:ind w:firstLine="0"/>
    </w:pPr>
  </w:style>
  <w:style w:type="paragraph" w:styleId="ListContinue5">
    <w:name w:val="List Continue 5"/>
    <w:basedOn w:val="List5"/>
    <w:rsid w:val="00DE2C32"/>
    <w:pPr>
      <w:ind w:firstLine="0"/>
    </w:pPr>
  </w:style>
  <w:style w:type="paragraph" w:styleId="ListNumber3">
    <w:name w:val="List Number 3"/>
    <w:basedOn w:val="List3"/>
    <w:rsid w:val="00DE2C32"/>
    <w:pPr>
      <w:numPr>
        <w:numId w:val="5"/>
      </w:numPr>
    </w:pPr>
  </w:style>
  <w:style w:type="paragraph" w:styleId="ListNumber4">
    <w:name w:val="List Number 4"/>
    <w:basedOn w:val="List4"/>
    <w:rsid w:val="00DE2C32"/>
    <w:pPr>
      <w:numPr>
        <w:numId w:val="6"/>
      </w:numPr>
    </w:pPr>
  </w:style>
  <w:style w:type="paragraph" w:styleId="ListNumber5">
    <w:name w:val="List Number 5"/>
    <w:basedOn w:val="List5"/>
    <w:rsid w:val="00DE2C32"/>
    <w:pPr>
      <w:numPr>
        <w:numId w:val="7"/>
      </w:numPr>
    </w:pPr>
  </w:style>
  <w:style w:type="paragraph" w:styleId="BlockText">
    <w:name w:val="Block Text"/>
    <w:basedOn w:val="Normal"/>
    <w:rsid w:val="00DE2C32"/>
    <w:pPr>
      <w:spacing w:after="120"/>
      <w:ind w:left="1440" w:right="1440"/>
    </w:pPr>
  </w:style>
  <w:style w:type="character" w:customStyle="1" w:styleId="Subscript">
    <w:name w:val="Subscript"/>
    <w:basedOn w:val="DefaultParagraphFont"/>
    <w:rsid w:val="00DE2C32"/>
    <w:rPr>
      <w:sz w:val="16"/>
      <w:vertAlign w:val="subscript"/>
    </w:rPr>
  </w:style>
  <w:style w:type="character" w:customStyle="1" w:styleId="Superscript">
    <w:name w:val="Superscript"/>
    <w:basedOn w:val="DefaultParagraphFont"/>
    <w:rsid w:val="00DE2C32"/>
    <w:rPr>
      <w:sz w:val="16"/>
      <w:vertAlign w:val="superscript"/>
    </w:rPr>
  </w:style>
  <w:style w:type="character" w:customStyle="1" w:styleId="Symbols">
    <w:name w:val="Symbols"/>
    <w:basedOn w:val="DefaultParagraphFont"/>
    <w:rsid w:val="00DE2C32"/>
    <w:rPr>
      <w:rFonts w:ascii="Symbol" w:hAnsi="Symbol"/>
    </w:rPr>
  </w:style>
  <w:style w:type="character" w:customStyle="1" w:styleId="MenuOptions">
    <w:name w:val="Menu Options"/>
    <w:basedOn w:val="DefaultParagraphFont"/>
    <w:rsid w:val="00DE2C32"/>
    <w:rPr>
      <w:rFonts w:ascii="Arial Narrow" w:hAnsi="Arial Narrow"/>
      <w:smallCaps/>
    </w:rPr>
  </w:style>
  <w:style w:type="character" w:customStyle="1" w:styleId="Buttons">
    <w:name w:val="Buttons"/>
    <w:basedOn w:val="DefaultParagraphFont"/>
    <w:rsid w:val="00DE2C32"/>
    <w:rPr>
      <w:b/>
    </w:rPr>
  </w:style>
  <w:style w:type="character" w:customStyle="1" w:styleId="Underlined">
    <w:name w:val="Underlined"/>
    <w:basedOn w:val="DefaultParagraphFont"/>
    <w:rsid w:val="00DE2C32"/>
    <w:rPr>
      <w:u w:val="single"/>
    </w:rPr>
  </w:style>
  <w:style w:type="paragraph" w:customStyle="1" w:styleId="TableBodyTextRight">
    <w:name w:val="Table Body Text Right"/>
    <w:basedOn w:val="TableBodyText"/>
    <w:rsid w:val="00DE2C32"/>
    <w:pPr>
      <w:widowControl w:val="0"/>
      <w:autoSpaceDE w:val="0"/>
      <w:autoSpaceDN w:val="0"/>
      <w:adjustRightInd w:val="0"/>
      <w:jc w:val="right"/>
    </w:pPr>
    <w:rPr>
      <w:rFonts w:cs="Arial"/>
      <w:szCs w:val="18"/>
    </w:rPr>
  </w:style>
  <w:style w:type="paragraph" w:customStyle="1" w:styleId="CopyrightText">
    <w:name w:val="Copyright Text"/>
    <w:basedOn w:val="BodyText"/>
    <w:rsid w:val="00DE2C32"/>
    <w:rPr>
      <w:sz w:val="18"/>
    </w:rPr>
  </w:style>
  <w:style w:type="paragraph" w:customStyle="1" w:styleId="BodySmallRight">
    <w:name w:val="Body Small Right"/>
    <w:basedOn w:val="BodyTextRight"/>
    <w:rsid w:val="00DE2C32"/>
    <w:rPr>
      <w:sz w:val="18"/>
      <w:szCs w:val="18"/>
    </w:rPr>
  </w:style>
  <w:style w:type="paragraph" w:customStyle="1" w:styleId="MarginEdition">
    <w:name w:val="Margin Edition"/>
    <w:basedOn w:val="MarginNote"/>
    <w:rsid w:val="00DE2C32"/>
    <w:pPr>
      <w:spacing w:before="0" w:after="0"/>
    </w:pPr>
    <w:rPr>
      <w:rFonts w:ascii="Times New Roman" w:hAnsi="Times New Roman"/>
      <w:color w:val="999999"/>
    </w:rPr>
  </w:style>
  <w:style w:type="paragraph" w:customStyle="1" w:styleId="Spacer">
    <w:name w:val="Spacer"/>
    <w:basedOn w:val="Normal"/>
    <w:rsid w:val="00DE2C32"/>
    <w:rPr>
      <w:sz w:val="2"/>
      <w:szCs w:val="2"/>
    </w:rPr>
  </w:style>
  <w:style w:type="character" w:customStyle="1" w:styleId="Small">
    <w:name w:val="Small"/>
    <w:basedOn w:val="DefaultParagraphFont"/>
    <w:rsid w:val="00DE2C32"/>
    <w:rPr>
      <w:sz w:val="16"/>
    </w:rPr>
  </w:style>
  <w:style w:type="paragraph" w:customStyle="1" w:styleId="WideTable">
    <w:name w:val="Wide Table"/>
    <w:basedOn w:val="Normal"/>
    <w:rsid w:val="00DE2C32"/>
    <w:pPr>
      <w:ind w:left="-1418"/>
    </w:pPr>
    <w:rPr>
      <w:sz w:val="2"/>
      <w:szCs w:val="2"/>
    </w:rPr>
  </w:style>
  <w:style w:type="character" w:styleId="PageNumber">
    <w:name w:val="page number"/>
    <w:basedOn w:val="DefaultParagraphFont"/>
    <w:rsid w:val="00DE2C32"/>
  </w:style>
  <w:style w:type="paragraph" w:styleId="Quote">
    <w:name w:val="Quote"/>
    <w:basedOn w:val="Heading1"/>
    <w:link w:val="QuoteChar"/>
    <w:qFormat/>
    <w:rsid w:val="00DE2C32"/>
    <w:rPr>
      <w:b w:val="0"/>
      <w:sz w:val="72"/>
      <w:szCs w:val="72"/>
      <w:lang w:val="en-NZ"/>
    </w:rPr>
  </w:style>
  <w:style w:type="character" w:customStyle="1" w:styleId="QuoteChar">
    <w:name w:val="Quote Char"/>
    <w:basedOn w:val="DefaultParagraphFont"/>
    <w:link w:val="Quote"/>
    <w:rsid w:val="00DE2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C32"/>
    <w:pPr>
      <w:pageBreakBefore/>
    </w:pPr>
  </w:style>
  <w:style w:type="paragraph" w:customStyle="1" w:styleId="Border">
    <w:name w:val="Border"/>
    <w:basedOn w:val="Normal"/>
    <w:qFormat/>
    <w:rsid w:val="00DE2C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C32"/>
    <w:rPr>
      <w:b/>
      <w:bCs/>
      <w:i/>
      <w:iCs/>
      <w:color w:val="auto"/>
    </w:rPr>
  </w:style>
  <w:style w:type="paragraph" w:styleId="IntenseQuote">
    <w:name w:val="Intense Quote"/>
    <w:basedOn w:val="Normal"/>
    <w:next w:val="Normal"/>
    <w:link w:val="IntenseQuoteChar"/>
    <w:uiPriority w:val="30"/>
    <w:qFormat/>
    <w:rsid w:val="00DE2C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C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C32"/>
    <w:rPr>
      <w:smallCaps/>
      <w:color w:val="auto"/>
      <w:u w:val="single"/>
    </w:rPr>
  </w:style>
  <w:style w:type="character" w:styleId="IntenseReference">
    <w:name w:val="Intense Reference"/>
    <w:basedOn w:val="DefaultParagraphFont"/>
    <w:uiPriority w:val="32"/>
    <w:qFormat/>
    <w:rsid w:val="00DE2C32"/>
    <w:rPr>
      <w:b/>
      <w:bCs/>
      <w:smallCaps/>
      <w:color w:val="auto"/>
      <w:spacing w:val="5"/>
      <w:u w:val="single"/>
    </w:rPr>
  </w:style>
  <w:style w:type="paragraph" w:customStyle="1" w:styleId="2ColumnHeading">
    <w:name w:val="2Column Heading"/>
    <w:basedOn w:val="BodyText"/>
    <w:qFormat/>
    <w:rsid w:val="00DE2C32"/>
    <w:pPr>
      <w:spacing w:after="60"/>
      <w:ind w:left="-2268"/>
    </w:pPr>
    <w:rPr>
      <w:b/>
    </w:rPr>
  </w:style>
  <w:style w:type="paragraph" w:customStyle="1" w:styleId="Heading1TOC">
    <w:name w:val="Heading1 TOC"/>
    <w:basedOn w:val="Normal"/>
    <w:qFormat/>
    <w:rsid w:val="00DE2C32"/>
    <w:pPr>
      <w:spacing w:before="240" w:after="120"/>
    </w:pPr>
    <w:rPr>
      <w:rFonts w:ascii="Times New Roman" w:hAnsi="Times New Roman"/>
      <w:b/>
      <w:sz w:val="32"/>
    </w:rPr>
  </w:style>
  <w:style w:type="paragraph" w:customStyle="1" w:styleId="Heading2TOC">
    <w:name w:val="Heading2 TOC"/>
    <w:basedOn w:val="Normal"/>
    <w:qFormat/>
    <w:rsid w:val="00DE2C32"/>
    <w:pPr>
      <w:spacing w:before="240" w:after="60"/>
    </w:pPr>
    <w:rPr>
      <w:rFonts w:ascii="Times New Roman" w:hAnsi="Times New Roman"/>
      <w:b/>
      <w:sz w:val="28"/>
    </w:rPr>
  </w:style>
  <w:style w:type="paragraph" w:styleId="BalloonText">
    <w:name w:val="Balloon Text"/>
    <w:basedOn w:val="Normal"/>
    <w:link w:val="BalloonTextChar"/>
    <w:rsid w:val="00DE2C32"/>
    <w:rPr>
      <w:rFonts w:ascii="Tahoma" w:hAnsi="Tahoma" w:cs="Tahoma"/>
      <w:sz w:val="16"/>
      <w:szCs w:val="16"/>
    </w:rPr>
  </w:style>
  <w:style w:type="character" w:customStyle="1" w:styleId="BalloonTextChar">
    <w:name w:val="Balloon Text Char"/>
    <w:basedOn w:val="DefaultParagraphFont"/>
    <w:link w:val="BalloonText"/>
    <w:rsid w:val="00DE2C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C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2C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C32"/>
    <w:rPr>
      <w:b/>
      <w:color w:val="660033"/>
      <w:spacing w:val="0"/>
    </w:rPr>
  </w:style>
  <w:style w:type="paragraph" w:customStyle="1" w:styleId="Nameditemlist">
    <w:name w:val="Named item list"/>
    <w:basedOn w:val="BodyText"/>
    <w:qFormat/>
    <w:rsid w:val="00DE2C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1367</Words>
  <Characters>8321</Characters>
  <Application>Microsoft Office Word</Application>
  <DocSecurity>0</DocSecurity>
  <Lines>321</Lines>
  <Paragraphs>173</Paragraphs>
  <ScaleCrop>false</ScaleCrop>
  <Company>Author-it Software Corporation Ltd.</Company>
  <LinksUpToDate>false</LinksUpToDate>
  <CharactersWithSpaces>9610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MTMP405B Conduct and validate pH/temperature declines to Meat Standards Australia standards</dc:title>
  <dc:subject>Approved</dc:subject>
  <dc:creator>AgriFood Skills Australia</dc:creator>
  <cp:keywords>Release: 1</cp:keywords>
  <dc:description>Review Date: 12 April 2008</dc:description>
  <cp:lastModifiedBy>TPCMS</cp:lastModifiedBy>
  <cp:revision>3</cp:revision>
  <dcterms:created xsi:type="dcterms:W3CDTF">2013-10-25T06:18:00Z</dcterms:created>
  <dcterms:modified xsi:type="dcterms:W3CDTF">2013-10-25T06:18:00Z</dcterms:modified>
</cp:coreProperties>
</file>