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B89" w:rsidP="009F5B89">
      <w:pPr>
        <w:pStyle w:val="Title"/>
      </w:pPr>
      <w:r>
        <w:fldChar w:fldCharType="begin"/>
      </w:r>
      <w:r>
        <w:instrText xml:space="preserve"> TITLE   \* MERGEFORMAT </w:instrText>
      </w:r>
      <w:r>
        <w:fldChar w:fldCharType="separate"/>
      </w:r>
      <w:r>
        <w:t>MTMP3071C Perform ante-mortem inspection and make disposition</w:t>
      </w:r>
      <w:r>
        <w:fldChar w:fldCharType="end"/>
      </w:r>
    </w:p>
    <w:p w:rsidR="009F5B89" w:rsidP="009F5B89">
      <w:pPr>
        <w:pStyle w:val="Version"/>
        <w:sectPr w:rsidSect="00A829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93A" w:rsidP="00A8293A">
      <w:pPr>
        <w:pStyle w:val="SuperHeading"/>
      </w:pPr>
      <w:r w:rsidRPr="00A8293A">
        <w:t>MTMP3071C Perform ante-mortem inspection and make disposition</w:t>
      </w:r>
    </w:p>
    <w:p w:rsidR="00000000" w:rsidRPr="00A8293A" w:rsidP="00A8293A">
      <w:pPr>
        <w:pStyle w:val="Heading1"/>
      </w:pPr>
      <w:bookmarkStart w:id="1" w:name="O_334813"/>
      <w:bookmarkEnd w:id="1"/>
      <w:r w:rsidRPr="00A8293A">
        <w:t>Modification History</w:t>
      </w:r>
    </w:p>
    <w:p w:rsidR="00000000" w:rsidRPr="00A8293A" w:rsidP="00A8293A">
      <w:pPr>
        <w:pStyle w:val="BodyText"/>
      </w:pPr>
      <w:r w:rsidRPr="00A8293A">
        <w:t>Not applicable.</w:t>
      </w:r>
    </w:p>
    <w:p w:rsidR="00000000" w:rsidRPr="00A8293A" w:rsidP="00A8293A">
      <w:pPr>
        <w:pStyle w:val="AllowPageBreak"/>
      </w:pPr>
    </w:p>
    <w:p w:rsidR="00000000" w:rsidRPr="00A8293A" w:rsidP="00A8293A">
      <w:pPr>
        <w:pStyle w:val="Heading1"/>
      </w:pPr>
      <w:bookmarkStart w:id="2" w:name="O_334811"/>
      <w:bookmarkEnd w:id="2"/>
      <w:r w:rsidRPr="00A8293A">
        <w:t>Unit Descriptor</w:t>
      </w:r>
    </w:p>
    <w:tbl>
      <w:tblPr>
        <w:tblW w:w="0" w:type="auto"/>
        <w:tblLayout w:type="fixed"/>
        <w:tblCellMar>
          <w:left w:w="62" w:type="dxa"/>
          <w:right w:w="62" w:type="dxa"/>
        </w:tblCellMar>
        <w:tblLook w:val="0000"/>
      </w:tblPr>
      <w:tblGrid>
        <w:gridCol w:w="2668"/>
        <w:gridCol w:w="5854"/>
      </w:tblGrid>
      <w:tr w:rsidTr="009F5B89">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r w:rsidRPr="00A8293A">
              <w:t>This unit covers the skills and knowledge required to the detect abnormalities and disea</w:t>
            </w:r>
            <w:r w:rsidRPr="00A8293A">
              <w:t>ses in the major livestock species (cattle, sheep and pigs) prior to slaughter. This unit will be assessed for the species for which competency is demonstrated in the workplace and the outcome and the species will be recorded appropriately on the assessmen</w:t>
            </w:r>
            <w:r w:rsidRPr="00A8293A">
              <w:t>t sheet. (Note: Poultry, game and ratites are covered by separate units).</w:t>
            </w:r>
          </w:p>
        </w:tc>
      </w:tr>
    </w:tbl>
    <w:p w:rsidR="009F5B89" w:rsidP="00A8293A">
      <w:pPr>
        <w:pStyle w:val="BodyText"/>
      </w:pPr>
    </w:p>
    <w:p w:rsidR="009F5B89" w:rsidP="00A8293A">
      <w:pPr>
        <w:pStyle w:val="BodyText"/>
      </w:pPr>
    </w:p>
    <w:p w:rsidR="00000000" w:rsidRPr="00A8293A" w:rsidP="00A8293A">
      <w:pPr>
        <w:pStyle w:val="Heading1"/>
      </w:pPr>
      <w:bookmarkStart w:id="3" w:name="O_334799"/>
      <w:bookmarkEnd w:id="3"/>
      <w:r w:rsidRPr="00A8293A">
        <w:t>Application of the Unit</w:t>
      </w:r>
    </w:p>
    <w:tbl>
      <w:tblPr>
        <w:tblW w:w="0" w:type="auto"/>
        <w:tblLayout w:type="fixed"/>
        <w:tblCellMar>
          <w:left w:w="62" w:type="dxa"/>
          <w:right w:w="62" w:type="dxa"/>
        </w:tblCellMar>
        <w:tblLook w:val="0000"/>
      </w:tblPr>
      <w:tblGrid>
        <w:gridCol w:w="2756"/>
        <w:gridCol w:w="5766"/>
      </w:tblGrid>
      <w:tr w:rsidTr="009F5B8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r w:rsidRPr="00A8293A">
              <w:t>This unit is applicable to meat inspectors and/or stock handlers responsible for ante-mortem inspection.</w:t>
            </w:r>
          </w:p>
        </w:tc>
      </w:tr>
    </w:tbl>
    <w:p w:rsidR="009F5B89" w:rsidP="00A8293A">
      <w:pPr>
        <w:pStyle w:val="BodyText"/>
      </w:pPr>
    </w:p>
    <w:p w:rsidR="009F5B89" w:rsidP="00A8293A">
      <w:pPr>
        <w:pStyle w:val="BodyText"/>
      </w:pPr>
    </w:p>
    <w:p w:rsidR="00000000" w:rsidRPr="00A8293A" w:rsidP="00A8293A">
      <w:pPr>
        <w:pStyle w:val="Heading1"/>
      </w:pPr>
      <w:bookmarkStart w:id="4" w:name="O_334807"/>
      <w:bookmarkEnd w:id="4"/>
      <w:r w:rsidRPr="00A8293A">
        <w:t>Licensing/Regulatory Information</w:t>
      </w:r>
    </w:p>
    <w:p w:rsidR="00000000" w:rsidRPr="00A8293A" w:rsidP="00A8293A">
      <w:pPr>
        <w:pStyle w:val="BodyText"/>
      </w:pPr>
      <w:r w:rsidRPr="00A8293A">
        <w:t>Not Applicable</w:t>
      </w:r>
    </w:p>
    <w:p w:rsidR="00000000" w:rsidRPr="00A8293A" w:rsidP="00A8293A">
      <w:pPr>
        <w:pStyle w:val="AllowPageBreak"/>
      </w:pPr>
    </w:p>
    <w:p w:rsidR="00000000" w:rsidRPr="00A8293A" w:rsidP="00A8293A">
      <w:pPr>
        <w:pStyle w:val="Heading1"/>
      </w:pPr>
      <w:bookmarkStart w:id="5" w:name="O_334808"/>
      <w:bookmarkEnd w:id="5"/>
      <w:r w:rsidRPr="00A8293A">
        <w:t>Pre-Requisites</w:t>
      </w:r>
    </w:p>
    <w:tbl>
      <w:tblPr>
        <w:tblW w:w="0" w:type="auto"/>
        <w:tblLayout w:type="fixed"/>
        <w:tblCellMar>
          <w:left w:w="62" w:type="dxa"/>
          <w:right w:w="62" w:type="dxa"/>
        </w:tblCellMar>
        <w:tblLook w:val="0000"/>
      </w:tblPr>
      <w:tblGrid>
        <w:gridCol w:w="2715"/>
        <w:gridCol w:w="2207"/>
        <w:gridCol w:w="3600"/>
      </w:tblGrid>
      <w:tr w:rsidTr="009F5B89">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Prerequisite units</w:t>
            </w:r>
          </w:p>
        </w:tc>
        <w:tc>
          <w:tcPr>
            <w:tcW w:w="58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p>
        </w:tc>
      </w:tr>
      <w:tr w:rsidTr="009F5B89">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t>MTMP3003A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t>Handle animals humanely while conducting ante-mortem inspection</w:t>
            </w:r>
          </w:p>
        </w:tc>
      </w:tr>
      <w:tr w:rsidTr="009F5B89">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p>
        </w:tc>
      </w:tr>
    </w:tbl>
    <w:p w:rsidR="009F5B89" w:rsidP="00A8293A">
      <w:pPr>
        <w:pStyle w:val="BodyText"/>
      </w:pPr>
    </w:p>
    <w:p w:rsidR="009F5B89" w:rsidP="00A8293A">
      <w:pPr>
        <w:pStyle w:val="BodyText"/>
      </w:pPr>
    </w:p>
    <w:p w:rsidR="00000000" w:rsidRPr="00A8293A" w:rsidP="00A8293A">
      <w:pPr>
        <w:pStyle w:val="Heading1"/>
      </w:pPr>
      <w:bookmarkStart w:id="6" w:name="O_334804"/>
      <w:bookmarkEnd w:id="6"/>
      <w:r w:rsidRPr="00A8293A">
        <w:t>Employability Skills Information</w:t>
      </w:r>
    </w:p>
    <w:tbl>
      <w:tblPr>
        <w:tblW w:w="0" w:type="auto"/>
        <w:tblLayout w:type="fixed"/>
        <w:tblCellMar>
          <w:left w:w="62" w:type="dxa"/>
          <w:right w:w="62" w:type="dxa"/>
        </w:tblCellMar>
        <w:tblLook w:val="0000"/>
      </w:tblPr>
      <w:tblGrid>
        <w:gridCol w:w="2802"/>
        <w:gridCol w:w="5720"/>
      </w:tblGrid>
      <w:tr w:rsidTr="009F5B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r w:rsidRPr="00A8293A">
              <w:t>This unit contains employability skills.</w:t>
            </w:r>
          </w:p>
        </w:tc>
      </w:tr>
    </w:tbl>
    <w:p w:rsidR="009F5B89" w:rsidP="00A8293A">
      <w:pPr>
        <w:pStyle w:val="BodyText"/>
      </w:pPr>
    </w:p>
    <w:p w:rsidR="009F5B89" w:rsidP="00A8293A">
      <w:pPr>
        <w:pStyle w:val="BodyText"/>
      </w:pPr>
    </w:p>
    <w:p w:rsidR="00000000" w:rsidRPr="00A8293A" w:rsidP="00A8293A">
      <w:pPr>
        <w:pStyle w:val="Heading1"/>
      </w:pPr>
      <w:bookmarkStart w:id="7" w:name="O_334803"/>
      <w:bookmarkEnd w:id="7"/>
      <w:r w:rsidRPr="00A8293A">
        <w:t>Elements and Performance Criteria Pre-Content</w:t>
      </w:r>
    </w:p>
    <w:tbl>
      <w:tblPr>
        <w:tblW w:w="0" w:type="auto"/>
        <w:tblLayout w:type="fixed"/>
        <w:tblCellMar>
          <w:left w:w="62" w:type="dxa"/>
          <w:right w:w="62" w:type="dxa"/>
        </w:tblCellMar>
        <w:tblLook w:val="0000"/>
      </w:tblPr>
      <w:tblGrid>
        <w:gridCol w:w="2551"/>
        <w:gridCol w:w="5971"/>
      </w:tblGrid>
      <w:tr w:rsidTr="009F5B8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r w:rsidRPr="00A8293A">
              <w:t>Performance criteria describe the performance needed to demons</w:t>
            </w:r>
            <w:r w:rsidRPr="00A8293A">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8293A" w:rsidP="00A8293A">
      <w:pPr>
        <w:pStyle w:val="BodyText"/>
      </w:pPr>
    </w:p>
    <w:p w:rsidR="00000000" w:rsidRPr="00A8293A" w:rsidP="00A8293A">
      <w:pPr>
        <w:pStyle w:val="AllowPageBreak"/>
      </w:pPr>
    </w:p>
    <w:p w:rsidR="00000000" w:rsidRPr="00A8293A" w:rsidP="00A8293A">
      <w:pPr>
        <w:pStyle w:val="Heading1"/>
      </w:pPr>
      <w:bookmarkStart w:id="8" w:name="O_334802"/>
      <w:bookmarkEnd w:id="8"/>
      <w:r w:rsidRPr="00A8293A">
        <w:t>Elements and Performance Criteria</w:t>
      </w:r>
    </w:p>
    <w:tbl>
      <w:tblPr>
        <w:tblW w:w="0" w:type="auto"/>
        <w:tblLayout w:type="fixed"/>
        <w:tblCellMar>
          <w:left w:w="62" w:type="dxa"/>
          <w:right w:w="62" w:type="dxa"/>
        </w:tblCellMar>
        <w:tblLook w:val="0000"/>
      </w:tblPr>
      <w:tblGrid>
        <w:gridCol w:w="2551"/>
        <w:gridCol w:w="5971"/>
      </w:tblGrid>
      <w:tr w:rsidTr="009F5B89">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r w:rsidRPr="00A8293A">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PERFORMANCE CRITERIA</w:t>
            </w:r>
          </w:p>
        </w:tc>
      </w:tr>
      <w:tr w:rsidTr="009F5B8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List"/>
              <w:rPr>
                <w:lang w:val="en-NZ"/>
              </w:rPr>
            </w:pPr>
            <w:r w:rsidRPr="00A8293A">
              <w:t>1.</w:t>
            </w:r>
            <w:r w:rsidRPr="00A8293A">
              <w:tab/>
              <w:t>Identify types of stock and market requirements of food animals commonly slaughtered for meat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List2"/>
            </w:pPr>
            <w:r w:rsidRPr="00A8293A">
              <w:t>1.1.</w:t>
            </w:r>
            <w:r w:rsidRPr="00A8293A">
              <w:tab/>
              <w:t>Major breeds of commonly slaughtered domestic animals are identified.</w:t>
            </w:r>
          </w:p>
          <w:p w:rsidR="00000000" w:rsidRPr="00A8293A" w:rsidP="00A8293A">
            <w:pPr>
              <w:pStyle w:val="List2"/>
            </w:pPr>
            <w:r w:rsidRPr="00A8293A">
              <w:t>1.2.</w:t>
            </w:r>
            <w:r w:rsidRPr="00A8293A">
              <w:tab/>
            </w:r>
            <w:r w:rsidRPr="00A8293A">
              <w:t>Distinguishing features of major breeds are identified.</w:t>
            </w:r>
          </w:p>
          <w:p w:rsidR="00000000" w:rsidP="00A8293A">
            <w:pPr>
              <w:pStyle w:val="List2"/>
              <w:rPr>
                <w:lang w:val="en-NZ"/>
              </w:rPr>
            </w:pPr>
            <w:r w:rsidRPr="00A8293A">
              <w:t>1.3.</w:t>
            </w:r>
            <w:r w:rsidRPr="00A8293A">
              <w:tab/>
              <w:t>Market requirements of commonly slaughtered domestic animals are identified.</w:t>
            </w:r>
          </w:p>
        </w:tc>
      </w:tr>
      <w:tr w:rsidTr="009F5B8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List"/>
              <w:rPr>
                <w:lang w:val="en-NZ"/>
              </w:rPr>
            </w:pPr>
            <w:r w:rsidRPr="00A8293A">
              <w:t>2.</w:t>
            </w:r>
            <w:r w:rsidRPr="00A8293A">
              <w:tab/>
              <w:t>Identify the main reasons for ante-mortem inspection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List2"/>
            </w:pPr>
            <w:r w:rsidRPr="00A8293A">
              <w:t>2.1.</w:t>
            </w:r>
            <w:r w:rsidRPr="00A8293A">
              <w:tab/>
              <w:t>Reasons for ante-mortem inspection are identified.</w:t>
            </w:r>
          </w:p>
          <w:p w:rsidR="00000000" w:rsidP="00A8293A">
            <w:pPr>
              <w:pStyle w:val="List2"/>
              <w:rPr>
                <w:lang w:val="en-NZ"/>
              </w:rPr>
            </w:pPr>
            <w:r w:rsidRPr="00A8293A">
              <w:t>2.2.</w:t>
            </w:r>
            <w:r w:rsidRPr="00A8293A">
              <w:tab/>
            </w:r>
            <w:r w:rsidRPr="00A8293A">
              <w:rPr>
                <w:rStyle w:val="BoldandItalics"/>
              </w:rPr>
              <w:t>Regulatory requirements</w:t>
            </w:r>
            <w:r w:rsidRPr="00A8293A">
              <w:t xml:space="preserve"> associated with ante-mortem inspection are identified.</w:t>
            </w:r>
          </w:p>
        </w:tc>
      </w:tr>
      <w:tr w:rsidTr="009F5B8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List"/>
              <w:rPr>
                <w:lang w:val="en-NZ"/>
              </w:rPr>
            </w:pPr>
            <w:r w:rsidRPr="00A8293A">
              <w:t>3.</w:t>
            </w:r>
            <w:r w:rsidRPr="00A8293A">
              <w:tab/>
              <w:t>Perform ante-mortem inspection on live animals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List2"/>
            </w:pPr>
            <w:r w:rsidRPr="00A8293A">
              <w:t>3.1.</w:t>
            </w:r>
            <w:r w:rsidRPr="00A8293A">
              <w:tab/>
              <w:t>Procedures and principles of humane handling of animals are identified.</w:t>
            </w:r>
          </w:p>
          <w:p w:rsidR="00000000" w:rsidRPr="00A8293A" w:rsidP="00A8293A">
            <w:pPr>
              <w:pStyle w:val="List2"/>
            </w:pPr>
            <w:r w:rsidRPr="00A8293A">
              <w:t>3.2.</w:t>
            </w:r>
            <w:r w:rsidRPr="00A8293A">
              <w:tab/>
            </w:r>
            <w:r w:rsidRPr="00A8293A">
              <w:t>Signs of common conditions responsible for abnormalities at ante-mortem are detected and identified.</w:t>
            </w:r>
          </w:p>
          <w:p w:rsidR="00000000" w:rsidRPr="00A8293A" w:rsidP="00A8293A">
            <w:pPr>
              <w:pStyle w:val="List2"/>
            </w:pPr>
            <w:r w:rsidRPr="00A8293A">
              <w:t>3.3.</w:t>
            </w:r>
            <w:r w:rsidRPr="00A8293A">
              <w:tab/>
              <w:t>Procedures for emergency and suspect slaughter are identified.</w:t>
            </w:r>
          </w:p>
          <w:p w:rsidR="00000000" w:rsidRPr="00A8293A" w:rsidP="00A8293A">
            <w:pPr>
              <w:pStyle w:val="List2"/>
            </w:pPr>
            <w:r w:rsidRPr="00A8293A">
              <w:t>3.4.</w:t>
            </w:r>
            <w:r w:rsidRPr="00A8293A">
              <w:tab/>
              <w:t xml:space="preserve">Ante-mortem inspection is performed on at least one species according to relevant </w:t>
            </w:r>
            <w:r w:rsidRPr="00A8293A">
              <w:t>Occupational Health and Safety (</w:t>
            </w:r>
            <w:r w:rsidRPr="00A8293A">
              <w:rPr>
                <w:rStyle w:val="BoldandItalics"/>
              </w:rPr>
              <w:t>OH</w:t>
            </w:r>
            <w:r w:rsidRPr="00A8293A">
              <w:t>&amp;</w:t>
            </w:r>
            <w:r w:rsidRPr="00A8293A">
              <w:rPr>
                <w:rStyle w:val="BoldandItalics"/>
              </w:rPr>
              <w:t>S</w:t>
            </w:r>
            <w:r w:rsidRPr="00A8293A">
              <w:t xml:space="preserve">), </w:t>
            </w:r>
            <w:r w:rsidRPr="00A8293A">
              <w:rPr>
                <w:rStyle w:val="BoldandItalics"/>
              </w:rPr>
              <w:t>workplace</w:t>
            </w:r>
            <w:r w:rsidRPr="00A8293A">
              <w:t xml:space="preserve"> and regulatory requirements.</w:t>
            </w:r>
          </w:p>
          <w:p w:rsidR="00000000" w:rsidP="00A8293A">
            <w:pPr>
              <w:pStyle w:val="List2"/>
              <w:rPr>
                <w:lang w:val="en-NZ"/>
              </w:rPr>
            </w:pPr>
            <w:r w:rsidRPr="00A8293A">
              <w:t>3.5.</w:t>
            </w:r>
            <w:r w:rsidRPr="00A8293A">
              <w:tab/>
              <w:t>Quality Assurance aspects of ante-mortem inspection are identified.</w:t>
            </w:r>
          </w:p>
        </w:tc>
      </w:tr>
      <w:tr w:rsidTr="009F5B8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List"/>
              <w:rPr>
                <w:lang w:val="en-NZ"/>
              </w:rPr>
            </w:pPr>
            <w:r w:rsidRPr="00A8293A">
              <w:t>4.</w:t>
            </w:r>
            <w:r w:rsidRPr="00A8293A">
              <w:tab/>
              <w:t>Identify and isolate animals requiring testing for residue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List2"/>
            </w:pPr>
            <w:r w:rsidRPr="00A8293A">
              <w:t>4.1.</w:t>
            </w:r>
            <w:r w:rsidRPr="00A8293A">
              <w:tab/>
              <w:t>Reasons for residue testing are ident</w:t>
            </w:r>
            <w:r w:rsidRPr="00A8293A">
              <w:t>ified.</w:t>
            </w:r>
          </w:p>
          <w:p w:rsidR="00000000" w:rsidP="00A8293A">
            <w:pPr>
              <w:pStyle w:val="List2"/>
              <w:rPr>
                <w:lang w:val="en-NZ"/>
              </w:rPr>
            </w:pPr>
            <w:r w:rsidRPr="00A8293A">
              <w:t>4.2.</w:t>
            </w:r>
            <w:r w:rsidRPr="00A8293A">
              <w:tab/>
              <w:t>Procedures for identifying and isolating animals for testing are followed.</w:t>
            </w:r>
          </w:p>
        </w:tc>
      </w:tr>
      <w:tr w:rsidTr="009F5B8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List"/>
              <w:rPr>
                <w:lang w:val="en-NZ"/>
              </w:rPr>
            </w:pPr>
            <w:r w:rsidRPr="00A8293A">
              <w:t>5.</w:t>
            </w:r>
            <w:r w:rsidRPr="00A8293A">
              <w:tab/>
              <w:t xml:space="preserve">Make </w:t>
            </w:r>
            <w:r w:rsidRPr="00A8293A">
              <w:rPr>
                <w:rStyle w:val="BoldandItalics"/>
              </w:rPr>
              <w:t>disposition</w:t>
            </w:r>
            <w:r w:rsidRPr="00A8293A">
              <w:t xml:space="preserve"> as a result of inspection and take appropriate action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List2"/>
            </w:pPr>
            <w:r w:rsidRPr="00A8293A">
              <w:t>5.1.</w:t>
            </w:r>
            <w:r w:rsidRPr="00A8293A">
              <w:tab/>
              <w:t>Common diseases and conditions responsible for abnormalities are identified, detected and</w:t>
            </w:r>
            <w:r w:rsidRPr="00A8293A">
              <w:t xml:space="preserve"> documented on at least one species</w:t>
            </w:r>
          </w:p>
          <w:p w:rsidR="00000000" w:rsidRPr="00A8293A" w:rsidP="00A8293A">
            <w:pPr>
              <w:pStyle w:val="List2"/>
            </w:pPr>
            <w:r w:rsidRPr="00A8293A">
              <w:t>5.2.</w:t>
            </w:r>
            <w:r w:rsidRPr="00A8293A">
              <w:tab/>
              <w:t>Suspect stock are segregated according to regulatory and workplace requirements</w:t>
            </w:r>
          </w:p>
          <w:p w:rsidR="00000000" w:rsidRPr="00A8293A" w:rsidP="00A8293A">
            <w:pPr>
              <w:pStyle w:val="List2"/>
            </w:pPr>
            <w:r w:rsidRPr="00A8293A">
              <w:t>5.3.</w:t>
            </w:r>
            <w:r w:rsidRPr="00A8293A">
              <w:tab/>
              <w:t xml:space="preserve">Signs of major exotic or notifiable </w:t>
            </w:r>
            <w:r w:rsidRPr="00A8293A">
              <w:rPr>
                <w:rStyle w:val="BoldandItalics"/>
              </w:rPr>
              <w:t>diseases</w:t>
            </w:r>
            <w:r w:rsidRPr="00A8293A">
              <w:t xml:space="preserve"> are identified.</w:t>
            </w:r>
          </w:p>
          <w:p w:rsidR="00000000" w:rsidRPr="00A8293A" w:rsidP="00A8293A">
            <w:pPr>
              <w:pStyle w:val="List2"/>
            </w:pPr>
            <w:r w:rsidRPr="00A8293A">
              <w:t>5.4.</w:t>
            </w:r>
            <w:r w:rsidRPr="00A8293A">
              <w:tab/>
              <w:t>Exotic or notifiable disease procedures are followed in accordan</w:t>
            </w:r>
            <w:r w:rsidRPr="00A8293A">
              <w:t>ce with regulatory requirements.</w:t>
            </w:r>
          </w:p>
        </w:tc>
      </w:tr>
    </w:tbl>
    <w:p w:rsidR="009F5B89" w:rsidP="00A8293A">
      <w:pPr>
        <w:pStyle w:val="BodyText"/>
      </w:pPr>
    </w:p>
    <w:p w:rsidR="009F5B89" w:rsidP="00A8293A">
      <w:pPr>
        <w:pStyle w:val="BodyText"/>
      </w:pPr>
    </w:p>
    <w:p w:rsidR="00000000" w:rsidRPr="00A8293A" w:rsidP="00A8293A">
      <w:pPr>
        <w:pStyle w:val="Heading1"/>
      </w:pPr>
      <w:bookmarkStart w:id="9" w:name="O_334810"/>
      <w:bookmarkEnd w:id="9"/>
      <w:r w:rsidRPr="00A8293A">
        <w:t>Required Skills and Knowledge</w:t>
      </w:r>
    </w:p>
    <w:tbl>
      <w:tblPr>
        <w:tblW w:w="0" w:type="auto"/>
        <w:tblLayout w:type="fixed"/>
        <w:tblCellMar>
          <w:left w:w="62" w:type="dxa"/>
          <w:right w:w="62" w:type="dxa"/>
        </w:tblCellMar>
        <w:tblLook w:val="0000"/>
      </w:tblPr>
      <w:tblGrid>
        <w:gridCol w:w="8522"/>
      </w:tblGrid>
      <w:tr w:rsidTr="009F5B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REQUIRED SKILLS AND KNOWLEDGE</w:t>
            </w:r>
          </w:p>
        </w:tc>
      </w:tr>
      <w:tr w:rsidTr="009F5B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t>This section describes the skills and knowledge required for this unit.</w:t>
            </w:r>
          </w:p>
        </w:tc>
      </w:tr>
      <w:tr w:rsidTr="009F5B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Required skills</w:t>
            </w:r>
          </w:p>
        </w:tc>
      </w:tr>
      <w:tr w:rsidTr="009F5B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r w:rsidRPr="00A8293A">
              <w:t xml:space="preserve">Ability to: </w:t>
            </w:r>
          </w:p>
          <w:p w:rsidR="00000000" w:rsidRPr="00A8293A" w:rsidP="00A8293A">
            <w:pPr>
              <w:pStyle w:val="ListBullet"/>
            </w:pPr>
            <w:r w:rsidRPr="00A8293A">
              <w:t>estimate size of stock pens</w:t>
            </w:r>
          </w:p>
          <w:p w:rsidR="00000000" w:rsidRPr="00A8293A" w:rsidP="00A8293A">
            <w:pPr>
              <w:pStyle w:val="ListBullet"/>
            </w:pPr>
            <w:r w:rsidRPr="00A8293A">
              <w:t>estimate number of cattle in a mob</w:t>
            </w:r>
          </w:p>
          <w:p w:rsidR="00000000" w:rsidRPr="00A8293A" w:rsidP="00A8293A">
            <w:pPr>
              <w:pStyle w:val="ListBullet"/>
            </w:pPr>
            <w:r w:rsidRPr="00A8293A">
              <w:t>identify animals using brand, tags, tattoos and electronic identification devices</w:t>
            </w:r>
          </w:p>
          <w:p w:rsidR="00000000" w:rsidRPr="00A8293A" w:rsidP="00A8293A">
            <w:pPr>
              <w:pStyle w:val="ListBullet"/>
            </w:pPr>
            <w:r w:rsidRPr="00A8293A">
              <w:t>identify common diseases and conditions in beef, sheep and pigs</w:t>
            </w:r>
          </w:p>
          <w:p w:rsidR="00000000" w:rsidRPr="00A8293A" w:rsidP="00A8293A">
            <w:pPr>
              <w:pStyle w:val="ListBullet"/>
            </w:pPr>
            <w:r w:rsidRPr="00A8293A">
              <w:t>describe appropriate dispositions for common di</w:t>
            </w:r>
            <w:r w:rsidRPr="00A8293A">
              <w:t>seases and conditions in beef, sheep and pigs</w:t>
            </w:r>
          </w:p>
          <w:p w:rsidR="00000000" w:rsidRPr="00A8293A" w:rsidP="00A8293A">
            <w:pPr>
              <w:pStyle w:val="ListBullet"/>
            </w:pPr>
            <w:r w:rsidRPr="00A8293A">
              <w:t>identify major exotic or notifiable diseases</w:t>
            </w:r>
          </w:p>
          <w:p w:rsidR="00000000" w:rsidRPr="00A8293A" w:rsidP="00A8293A">
            <w:pPr>
              <w:pStyle w:val="ListBullet"/>
            </w:pPr>
            <w:r w:rsidRPr="00A8293A">
              <w:t>demonstrate procedures for humane handling of livestock</w:t>
            </w:r>
          </w:p>
          <w:p w:rsidR="00000000" w:rsidRPr="00A8293A" w:rsidP="00A8293A">
            <w:pPr>
              <w:pStyle w:val="ListBullet"/>
            </w:pPr>
            <w:r w:rsidRPr="00A8293A">
              <w:t>perform ante-mortem inspection to Australian Standards and other relevant regulatory requirements on at least one major domestic food species in a workplace environment under normal operating conditions</w:t>
            </w:r>
          </w:p>
          <w:p w:rsidR="00000000" w:rsidRPr="00A8293A" w:rsidP="00A8293A">
            <w:pPr>
              <w:pStyle w:val="ListBullet"/>
            </w:pPr>
            <w:r w:rsidRPr="00A8293A">
              <w:t>identify suspect animals that may be suffering from a</w:t>
            </w:r>
            <w:r w:rsidRPr="00A8293A">
              <w:t xml:space="preserve"> notifiable disease on ante-mortem examination according to Australian Standards</w:t>
            </w:r>
          </w:p>
          <w:p w:rsidR="00000000" w:rsidRPr="00A8293A" w:rsidP="00A8293A">
            <w:pPr>
              <w:pStyle w:val="ListBullet"/>
            </w:pPr>
            <w:r w:rsidRPr="00A8293A">
              <w:t>make disposition according to workplace and regulatory requirements</w:t>
            </w:r>
          </w:p>
          <w:p w:rsidR="00000000" w:rsidRPr="00A8293A" w:rsidP="00A8293A">
            <w:pPr>
              <w:pStyle w:val="ListBullet"/>
            </w:pPr>
            <w:r w:rsidRPr="00A8293A">
              <w:rPr>
                <w:rStyle w:val="BoldandItalics"/>
              </w:rPr>
              <w:t>report</w:t>
            </w:r>
            <w:r w:rsidRPr="00A8293A">
              <w:t xml:space="preserve"> notifiable diseases promptly and accurately according to regulatory requirements</w:t>
            </w:r>
          </w:p>
          <w:p w:rsidR="00000000" w:rsidRPr="00A8293A" w:rsidP="00A8293A">
            <w:pPr>
              <w:pStyle w:val="ListBullet"/>
            </w:pPr>
            <w:r w:rsidRPr="00A8293A">
              <w:t>take action to impr</w:t>
            </w:r>
            <w:r w:rsidRPr="00A8293A">
              <w:t>ove work performance as a result of self-evaluation, feedback from others, or in response to changed work practices or technology</w:t>
            </w:r>
          </w:p>
          <w:p w:rsidR="00000000" w:rsidRPr="00A8293A" w:rsidP="00A8293A">
            <w:pPr>
              <w:pStyle w:val="ListBullet"/>
            </w:pPr>
            <w:r w:rsidRPr="00A8293A">
              <w:t xml:space="preserve">apply relevant </w:t>
            </w:r>
            <w:r w:rsidRPr="00A8293A">
              <w:rPr>
                <w:rStyle w:val="BoldandItalics"/>
              </w:rPr>
              <w:t>communication skills</w:t>
            </w:r>
          </w:p>
          <w:p w:rsidR="00000000" w:rsidRPr="00A8293A" w:rsidP="00A8293A">
            <w:pPr>
              <w:pStyle w:val="ListBullet"/>
            </w:pPr>
            <w:r w:rsidRPr="00A8293A">
              <w:t>work effectively as an individual and as part of a team</w:t>
            </w:r>
          </w:p>
          <w:p w:rsidR="00000000" w:rsidRPr="00A8293A" w:rsidP="00A8293A">
            <w:pPr>
              <w:pStyle w:val="ListBullet"/>
            </w:pPr>
            <w:r w:rsidRPr="00A8293A">
              <w:t>perform tasks to workplace require</w:t>
            </w:r>
            <w:r w:rsidRPr="00A8293A">
              <w:t>ments</w:t>
            </w:r>
          </w:p>
          <w:p w:rsidR="00000000" w:rsidP="00A8293A">
            <w:pPr>
              <w:pStyle w:val="ListBullet"/>
              <w:rPr>
                <w:lang w:val="en-NZ"/>
              </w:rPr>
            </w:pPr>
            <w:r w:rsidRPr="00A8293A">
              <w:t>work cooperatively with company stock handlers to ensure smooth flow of stock</w:t>
            </w:r>
          </w:p>
        </w:tc>
      </w:tr>
      <w:tr w:rsidTr="009F5B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Required knowledge</w:t>
            </w:r>
          </w:p>
        </w:tc>
      </w:tr>
      <w:tr w:rsidTr="009F5B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r w:rsidRPr="00A8293A">
              <w:t>Knowledge of:</w:t>
            </w:r>
          </w:p>
          <w:p w:rsidR="00000000" w:rsidRPr="00A8293A" w:rsidP="00A8293A">
            <w:pPr>
              <w:pStyle w:val="ListBullet"/>
            </w:pPr>
            <w:r w:rsidRPr="00A8293A">
              <w:t>regulatory requirements for suspect stock, hygiene and sanitation standards, and workplace standards associated with ante-mortem inspect</w:t>
            </w:r>
            <w:r w:rsidRPr="00A8293A">
              <w:t>ion</w:t>
            </w:r>
          </w:p>
          <w:p w:rsidR="00000000" w:rsidRPr="00A8293A" w:rsidP="00A8293A">
            <w:pPr>
              <w:pStyle w:val="ListBullet"/>
            </w:pPr>
            <w:r w:rsidRPr="00A8293A">
              <w:t>segregation requirements for suspect animals</w:t>
            </w:r>
          </w:p>
          <w:p w:rsidR="00000000" w:rsidRPr="00A8293A" w:rsidP="00A8293A">
            <w:pPr>
              <w:pStyle w:val="ListBullet"/>
            </w:pPr>
            <w:r w:rsidRPr="00A8293A">
              <w:t>sources of information to keep up-to-date with current theories or findings</w:t>
            </w:r>
          </w:p>
          <w:p w:rsidR="00000000" w:rsidRPr="00A8293A" w:rsidP="00A8293A">
            <w:pPr>
              <w:pStyle w:val="ListBullet"/>
            </w:pPr>
            <w:r w:rsidRPr="00A8293A">
              <w:t>steps and procedures for emergency and suspect kill</w:t>
            </w:r>
          </w:p>
          <w:p w:rsidR="00000000" w:rsidRPr="00A8293A" w:rsidP="00A8293A">
            <w:pPr>
              <w:pStyle w:val="ListBullet"/>
            </w:pPr>
            <w:r w:rsidRPr="00A8293A">
              <w:t>steps in ante-mortem inspection and recognise abnormal conditions</w:t>
            </w:r>
          </w:p>
          <w:p w:rsidR="00000000" w:rsidRPr="00A8293A" w:rsidP="00A8293A">
            <w:pPr>
              <w:pStyle w:val="ListBullet"/>
            </w:pPr>
            <w:r w:rsidRPr="00A8293A">
              <w:t>symptoms of major exotic or notifiable diseases (including Ovine Johne's Disease (OJD))</w:t>
            </w:r>
          </w:p>
          <w:p w:rsidR="00000000" w:rsidRPr="00A8293A" w:rsidP="00A8293A">
            <w:pPr>
              <w:pStyle w:val="ListBullet"/>
            </w:pPr>
            <w:r w:rsidRPr="00A8293A">
              <w:t>principles and procedures for humane handling of livestock</w:t>
            </w:r>
          </w:p>
          <w:p w:rsidR="00000000" w:rsidRPr="00A8293A" w:rsidP="00A8293A">
            <w:pPr>
              <w:pStyle w:val="ListBullet"/>
            </w:pPr>
            <w:r w:rsidRPr="00A8293A">
              <w:t>regulatory requirements associated with exotic or notifiable diseases</w:t>
            </w:r>
          </w:p>
          <w:p w:rsidR="00000000" w:rsidRPr="00A8293A" w:rsidP="00A8293A">
            <w:pPr>
              <w:pStyle w:val="ListBullet"/>
            </w:pPr>
            <w:r w:rsidRPr="00A8293A">
              <w:t xml:space="preserve">steps to be taken to notify of suspect </w:t>
            </w:r>
            <w:r w:rsidRPr="00A8293A">
              <w:t>exotic or notifiable disease</w:t>
            </w:r>
          </w:p>
        </w:tc>
      </w:tr>
    </w:tbl>
    <w:p w:rsidR="009F5B89" w:rsidP="00A8293A">
      <w:pPr>
        <w:pStyle w:val="BodyText"/>
      </w:pPr>
    </w:p>
    <w:p w:rsidR="009F5B89" w:rsidP="00A8293A">
      <w:pPr>
        <w:pStyle w:val="BodyText"/>
      </w:pPr>
    </w:p>
    <w:p w:rsidR="00000000" w:rsidRPr="00A8293A" w:rsidP="00A8293A">
      <w:pPr>
        <w:pStyle w:val="AllowPageBreak"/>
      </w:pPr>
    </w:p>
    <w:p w:rsidR="00000000" w:rsidRPr="00A8293A" w:rsidP="00A8293A">
      <w:pPr>
        <w:pStyle w:val="Heading1"/>
      </w:pPr>
      <w:bookmarkStart w:id="10" w:name="O_334805"/>
      <w:bookmarkEnd w:id="10"/>
      <w:r w:rsidRPr="00A8293A">
        <w:t>Evidence Guide</w:t>
      </w:r>
    </w:p>
    <w:tbl>
      <w:tblPr>
        <w:tblW w:w="9570" w:type="dxa"/>
        <w:tblLayout w:type="fixed"/>
        <w:tblCellMar>
          <w:left w:w="62" w:type="dxa"/>
          <w:right w:w="62" w:type="dxa"/>
        </w:tblCellMar>
        <w:tblLook w:val="0000"/>
      </w:tblPr>
      <w:tblGrid>
        <w:gridCol w:w="3908"/>
        <w:gridCol w:w="5662"/>
      </w:tblGrid>
      <w:tr w:rsidTr="009F5B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EVIDENCE GUIDE</w:t>
            </w:r>
          </w:p>
        </w:tc>
      </w:tr>
      <w:tr w:rsidTr="009F5B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t xml:space="preserve">The evidence guide provides advice on assessment and must be read in conjunction with the performance criteria, required skills and knowledge, </w:t>
            </w:r>
            <w:r w:rsidRPr="00A8293A">
              <w:t>range statement and the Assessment Guidelines for the Training Package.</w:t>
            </w:r>
          </w:p>
        </w:tc>
      </w:tr>
      <w:tr w:rsidTr="009F5B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r w:rsidRPr="00A8293A">
              <w:t xml:space="preserve">The meat industry has specific and clear requirements for evidence. A minimum of three forms of evidence is required to demonstrate competency </w:t>
            </w:r>
            <w:r w:rsidRPr="00A8293A">
              <w:t>in the meat industry. This is specifically designed to provide evidence that covers the demonstration in the workplace of all aspects of competency over time.</w:t>
            </w:r>
          </w:p>
          <w:p w:rsidR="00000000" w:rsidRPr="00A8293A" w:rsidP="00A8293A">
            <w:pPr>
              <w:pStyle w:val="BodyText"/>
            </w:pPr>
            <w:r w:rsidRPr="00A8293A">
              <w:t>These requirements are in addition to the requirements for valid, current, authentic and sufficie</w:t>
            </w:r>
            <w:r w:rsidRPr="00A8293A">
              <w:t>nt evidence.</w:t>
            </w:r>
          </w:p>
          <w:p w:rsidR="00000000" w:rsidRPr="00A8293A" w:rsidP="00A8293A">
            <w:pPr>
              <w:pStyle w:val="BodyText"/>
            </w:pPr>
          </w:p>
          <w:p w:rsidR="00000000" w:rsidRPr="00A8293A" w:rsidP="00A8293A">
            <w:pPr>
              <w:pStyle w:val="BodyText"/>
            </w:pPr>
            <w:r w:rsidRPr="00A8293A">
              <w:t>Three forms of evidence means three different kinds of evidence - not three pieces of the same kind. In practice it will mean that most of the unit is covered twice. This increases the legitimacy of the evidence.</w:t>
            </w:r>
          </w:p>
          <w:p w:rsidR="00000000" w:rsidRPr="00A8293A" w:rsidP="00A8293A">
            <w:pPr>
              <w:pStyle w:val="BodyText"/>
            </w:pPr>
          </w:p>
          <w:p w:rsidR="00000000" w:rsidP="00A8293A">
            <w:pPr>
              <w:pStyle w:val="BodyText"/>
              <w:rPr>
                <w:lang w:val="en-NZ"/>
              </w:rPr>
            </w:pPr>
            <w:r w:rsidRPr="00A8293A">
              <w:t>All assessment must be condu</w:t>
            </w:r>
            <w:r w:rsidRPr="00A8293A">
              <w:t>cted against Australian meat industry standards and regulations.</w:t>
            </w:r>
          </w:p>
        </w:tc>
      </w:tr>
      <w:tr w:rsidTr="009F5B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r w:rsidRPr="00A8293A">
              <w:t>Competency in the practical aspects of this unit must be assessed under normal production conditi</w:t>
            </w:r>
            <w:r w:rsidRPr="00A8293A">
              <w:t>ons.</w:t>
            </w:r>
          </w:p>
          <w:p w:rsidR="00000000" w:rsidRPr="00A8293A" w:rsidP="00A8293A">
            <w:pPr>
              <w:pStyle w:val="BodyText"/>
            </w:pPr>
          </w:p>
          <w:p w:rsidR="00000000" w:rsidRPr="00A8293A" w:rsidP="00A8293A">
            <w:pPr>
              <w:pStyle w:val="BodyText"/>
            </w:pPr>
            <w:r w:rsidRPr="00A8293A">
              <w:t>Candidates must be able to:</w:t>
            </w:r>
          </w:p>
          <w:p w:rsidR="00000000" w:rsidRPr="00A8293A" w:rsidP="00A8293A">
            <w:pPr>
              <w:pStyle w:val="ListBullet"/>
            </w:pPr>
            <w:r w:rsidRPr="00A8293A">
              <w:t>perform ante-mortem inspection on at least one species.</w:t>
            </w:r>
          </w:p>
          <w:p w:rsidR="00000000" w:rsidRPr="00A8293A" w:rsidP="00A8293A">
            <w:pPr>
              <w:pStyle w:val="BodyText"/>
            </w:pPr>
          </w:p>
          <w:p w:rsidR="00000000" w:rsidP="00A8293A">
            <w:pPr>
              <w:pStyle w:val="BodyText"/>
              <w:rPr>
                <w:lang w:val="en-NZ"/>
              </w:rPr>
            </w:pPr>
            <w:r w:rsidRPr="00A8293A">
              <w:t>The identification of diseases and conditions in other species can be undertaken in a simulated situation utilising samples and photographs.</w:t>
            </w:r>
          </w:p>
        </w:tc>
      </w:tr>
      <w:tr w:rsidTr="009F5B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Context of</w:t>
            </w:r>
            <w:r w:rsidRPr="00A8293A">
              <w:t xml:space="preserve">, </w:t>
            </w:r>
            <w:r w:rsidRPr="00A8293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t>Assessment must include demonstration of competency in an operating abattoir. Assessment of the diagnosis of the less common conditions can be undertaken by simulation.</w:t>
            </w:r>
          </w:p>
        </w:tc>
      </w:tr>
      <w:tr w:rsidTr="009F5B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r w:rsidRPr="00A8293A">
              <w:t>Recommended methods of assessment include:</w:t>
            </w:r>
          </w:p>
          <w:p w:rsidR="00000000" w:rsidRPr="00A8293A" w:rsidP="00A8293A">
            <w:pPr>
              <w:pStyle w:val="ListBullet"/>
            </w:pPr>
            <w:r w:rsidRPr="00A8293A">
              <w:t>assignments</w:t>
            </w:r>
          </w:p>
          <w:p w:rsidR="00000000" w:rsidRPr="00A8293A" w:rsidP="00A8293A">
            <w:pPr>
              <w:pStyle w:val="ListBullet"/>
            </w:pPr>
            <w:r w:rsidRPr="00A8293A">
              <w:t>debriefs</w:t>
            </w:r>
          </w:p>
          <w:p w:rsidR="00000000" w:rsidRPr="00A8293A" w:rsidP="00A8293A">
            <w:pPr>
              <w:pStyle w:val="ListBullet"/>
            </w:pPr>
            <w:r w:rsidRPr="00A8293A">
              <w:t>quiz of underpinning knowledge</w:t>
            </w:r>
          </w:p>
          <w:p w:rsidR="00000000" w:rsidRPr="00A8293A" w:rsidP="00A8293A">
            <w:pPr>
              <w:pStyle w:val="ListBullet"/>
            </w:pPr>
            <w:r w:rsidRPr="00A8293A">
              <w:t>simulation</w:t>
            </w:r>
          </w:p>
          <w:p w:rsidR="00000000" w:rsidRPr="00A8293A" w:rsidP="00A8293A">
            <w:pPr>
              <w:pStyle w:val="ListBullet"/>
            </w:pPr>
            <w:r w:rsidRPr="00A8293A">
              <w:t>verified work log or diary</w:t>
            </w:r>
          </w:p>
          <w:p w:rsidR="00000000" w:rsidRPr="00A8293A" w:rsidP="00A8293A">
            <w:pPr>
              <w:pStyle w:val="ListBullet"/>
            </w:pPr>
            <w:r w:rsidRPr="00A8293A">
              <w:t xml:space="preserve">workplace demonstration </w:t>
            </w:r>
          </w:p>
          <w:p w:rsidR="00000000" w:rsidRPr="00A8293A" w:rsidP="00A8293A">
            <w:pPr>
              <w:pStyle w:val="ListBullet"/>
            </w:pPr>
            <w:r w:rsidRPr="00A8293A">
              <w:t>workplace project</w:t>
            </w:r>
          </w:p>
          <w:p w:rsidR="00000000" w:rsidRPr="00A8293A" w:rsidP="00A8293A">
            <w:pPr>
              <w:pStyle w:val="ListBullet"/>
            </w:pPr>
            <w:r w:rsidRPr="00A8293A">
              <w:t>workplace referee or third-party report of performance over time.</w:t>
            </w:r>
          </w:p>
          <w:p w:rsidR="00000000" w:rsidRPr="00A8293A" w:rsidP="00A8293A">
            <w:pPr>
              <w:pStyle w:val="BodyText"/>
            </w:pPr>
          </w:p>
          <w:p w:rsidR="00000000" w:rsidP="00A8293A">
            <w:pPr>
              <w:pStyle w:val="BodyText"/>
              <w:rPr>
                <w:lang w:val="en-NZ"/>
              </w:rPr>
            </w:pPr>
            <w:r w:rsidRPr="00A8293A">
              <w:t>Assessment practices should take into account any relevant language or cultural issues related to Aboriginality or Torres Strait Islander, gender, or language backgrounds other than English. Language and literacy demands of the assessment task should not b</w:t>
            </w:r>
            <w:r w:rsidRPr="00A8293A">
              <w:t>e higher than those of the work role.</w:t>
            </w:r>
          </w:p>
        </w:tc>
      </w:tr>
      <w:tr w:rsidTr="009F5B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r w:rsidRPr="00A8293A">
              <w:t xml:space="preserve">A current list of resources for this Unit of Competency is available from MINTRAC </w:t>
            </w:r>
            <w:r w:rsidRPr="00A8293A">
              <w:rPr>
                <w:rStyle w:val="Underline"/>
              </w:rPr>
              <w:t>www</w:t>
            </w:r>
            <w:r w:rsidRPr="00A8293A">
              <w:t>.</w:t>
            </w:r>
            <w:r w:rsidRPr="00A8293A">
              <w:rPr>
                <w:rStyle w:val="Underline"/>
              </w:rPr>
              <w:t>mintrac</w:t>
            </w:r>
            <w:r w:rsidRPr="00A8293A">
              <w:t>.</w:t>
            </w:r>
            <w:r w:rsidRPr="00A8293A">
              <w:rPr>
                <w:rStyle w:val="Underline"/>
              </w:rPr>
              <w:t>com</w:t>
            </w:r>
            <w:r w:rsidRPr="00A8293A">
              <w:t>.</w:t>
            </w:r>
            <w:r w:rsidRPr="00A8293A">
              <w:rPr>
                <w:rStyle w:val="Underline"/>
              </w:rPr>
              <w:t>au</w:t>
            </w:r>
            <w:r w:rsidRPr="00A8293A">
              <w:t xml:space="preserve">  or telephone 1800 817 462.</w:t>
            </w:r>
          </w:p>
        </w:tc>
      </w:tr>
    </w:tbl>
    <w:p w:rsidR="009F5B89" w:rsidP="00A8293A">
      <w:pPr>
        <w:pStyle w:val="BodyText"/>
      </w:pPr>
    </w:p>
    <w:p w:rsidR="009F5B89" w:rsidP="00A8293A">
      <w:pPr>
        <w:pStyle w:val="BodyText"/>
      </w:pPr>
    </w:p>
    <w:p w:rsidR="00000000" w:rsidRPr="00A8293A" w:rsidP="00A8293A">
      <w:pPr>
        <w:pStyle w:val="Heading1"/>
      </w:pPr>
      <w:bookmarkStart w:id="11" w:name="O_334809"/>
      <w:bookmarkEnd w:id="11"/>
      <w:r w:rsidRPr="00A8293A">
        <w:t>Range Statement</w:t>
      </w:r>
    </w:p>
    <w:tbl>
      <w:tblPr>
        <w:tblW w:w="0" w:type="auto"/>
        <w:tblLayout w:type="fixed"/>
        <w:tblCellMar>
          <w:left w:w="62" w:type="dxa"/>
          <w:right w:w="62" w:type="dxa"/>
        </w:tblCellMar>
        <w:tblLook w:val="0000"/>
      </w:tblPr>
      <w:tblGrid>
        <w:gridCol w:w="3511"/>
        <w:gridCol w:w="5011"/>
      </w:tblGrid>
      <w:tr w:rsidTr="009F5B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RANGE STATEMENT</w:t>
            </w:r>
          </w:p>
        </w:tc>
      </w:tr>
      <w:tr w:rsidTr="009F5B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t>The range statement relates to the unit of competency as a whole. It allows for different work environments and situations that may affect performance. Bold italicised wording, if used in the performance criteria, is detailed below. Essen</w:t>
            </w:r>
            <w:r w:rsidRPr="00A8293A">
              <w:t>tial operating conditions that may be present with training and assessment (depending on the work situation, needs of the candidate, accessibility of the item, and local industry and regional contexts) may also be included.</w:t>
            </w:r>
          </w:p>
        </w:tc>
      </w:tr>
      <w:tr w:rsidTr="009F5B8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BoldandItalics"/>
              </w:rPr>
              <w:t>Regulatory requirements</w:t>
            </w:r>
            <w:r w:rsidRPr="00A8293A">
              <w:t xml:space="preserve"> may in</w:t>
            </w:r>
            <w:r w:rsidRPr="00A8293A">
              <w:t>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ListBullet"/>
            </w:pPr>
            <w:r w:rsidRPr="00A8293A">
              <w:t>Export Control Act</w:t>
            </w:r>
          </w:p>
          <w:p w:rsidR="00000000" w:rsidRPr="00A8293A" w:rsidP="00A8293A">
            <w:pPr>
              <w:pStyle w:val="ListBullet"/>
            </w:pPr>
            <w:r w:rsidRPr="00A8293A">
              <w:t>relevant Australian Standards</w:t>
            </w:r>
          </w:p>
          <w:p w:rsidR="00000000" w:rsidRPr="00A8293A" w:rsidP="00A8293A">
            <w:pPr>
              <w:pStyle w:val="ListBullet"/>
            </w:pPr>
            <w:r w:rsidRPr="00A8293A">
              <w:t>relevant regulations</w:t>
            </w:r>
          </w:p>
          <w:p w:rsidR="00000000" w:rsidRPr="00A8293A" w:rsidP="00A8293A">
            <w:pPr>
              <w:pStyle w:val="ListBullet"/>
            </w:pPr>
            <w:r w:rsidRPr="00A8293A">
              <w:t>requirements set out in AS 4696:2007 Australian Standard for Hygienic Production and Transportation of Meat and Meat Products for Human Consumption</w:t>
            </w:r>
          </w:p>
          <w:p w:rsidR="00000000" w:rsidP="00A8293A">
            <w:pPr>
              <w:pStyle w:val="ListBullet"/>
              <w:rPr>
                <w:lang w:val="en-NZ"/>
              </w:rPr>
            </w:pPr>
            <w:r w:rsidRPr="00A8293A">
              <w:t>state regulations regarding meat processing.</w:t>
            </w:r>
          </w:p>
        </w:tc>
      </w:tr>
      <w:tr w:rsidTr="009F5B8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BoldandItalics"/>
              </w:rPr>
              <w:t>OH</w:t>
            </w:r>
            <w:r w:rsidRPr="00A8293A">
              <w:t>&amp;</w:t>
            </w:r>
            <w:r w:rsidRPr="00A8293A">
              <w:rPr>
                <w:rStyle w:val="BoldandItalics"/>
              </w:rPr>
              <w:t>S</w:t>
            </w:r>
            <w:r w:rsidRPr="00A8293A">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ListBullet"/>
            </w:pPr>
            <w:r w:rsidRPr="00A8293A">
              <w:t>enterprise OH&amp;S policies, procedures and programs</w:t>
            </w:r>
          </w:p>
          <w:p w:rsidR="00000000" w:rsidRPr="00A8293A" w:rsidP="00A8293A">
            <w:pPr>
              <w:pStyle w:val="ListBullet"/>
            </w:pPr>
            <w:r w:rsidRPr="00A8293A">
              <w:t>OH&amp;S legal requirements</w:t>
            </w:r>
          </w:p>
          <w:p w:rsidR="00000000" w:rsidRPr="00A8293A" w:rsidP="00A8293A">
            <w:pPr>
              <w:pStyle w:val="ListBullet"/>
            </w:pPr>
            <w:r w:rsidRPr="00A8293A">
              <w:t>Personal Protective Equipment (PPE) which may include:</w:t>
            </w:r>
          </w:p>
          <w:p w:rsidR="00000000" w:rsidRPr="00A8293A" w:rsidP="00A8293A">
            <w:pPr>
              <w:pStyle w:val="ListBullet2"/>
            </w:pPr>
            <w:r w:rsidRPr="00A8293A">
              <w:t>coats and aprons</w:t>
            </w:r>
          </w:p>
          <w:p w:rsidR="00000000" w:rsidRPr="00A8293A" w:rsidP="00A8293A">
            <w:pPr>
              <w:pStyle w:val="ListBullet2"/>
            </w:pPr>
            <w:r w:rsidRPr="00A8293A">
              <w:t>ear plugs or muffs</w:t>
            </w:r>
          </w:p>
          <w:p w:rsidR="00000000" w:rsidRPr="00A8293A" w:rsidP="00A8293A">
            <w:pPr>
              <w:pStyle w:val="ListBullet2"/>
            </w:pPr>
            <w:r w:rsidRPr="00A8293A">
              <w:t>eye and facial protection</w:t>
            </w:r>
          </w:p>
          <w:p w:rsidR="00000000" w:rsidRPr="00A8293A" w:rsidP="00A8293A">
            <w:pPr>
              <w:pStyle w:val="ListBullet2"/>
            </w:pPr>
            <w:r w:rsidRPr="00A8293A">
              <w:t>head-wear</w:t>
            </w:r>
          </w:p>
          <w:p w:rsidR="00000000" w:rsidRPr="00A8293A" w:rsidP="00A8293A">
            <w:pPr>
              <w:pStyle w:val="ListBullet2"/>
            </w:pPr>
            <w:r w:rsidRPr="00A8293A">
              <w:t>lifting assistance</w:t>
            </w:r>
          </w:p>
          <w:p w:rsidR="00000000" w:rsidRPr="00A8293A" w:rsidP="00A8293A">
            <w:pPr>
              <w:pStyle w:val="ListBullet2"/>
            </w:pPr>
            <w:r w:rsidRPr="00A8293A">
              <w:t>mesh aprons</w:t>
            </w:r>
          </w:p>
          <w:p w:rsidR="00000000" w:rsidRPr="00A8293A" w:rsidP="00A8293A">
            <w:pPr>
              <w:pStyle w:val="ListBullet2"/>
            </w:pPr>
            <w:r w:rsidRPr="00A8293A">
              <w:t>protective boot covers</w:t>
            </w:r>
          </w:p>
          <w:p w:rsidR="00000000" w:rsidRPr="00A8293A" w:rsidP="00A8293A">
            <w:pPr>
              <w:pStyle w:val="ListBullet2"/>
            </w:pPr>
            <w:r w:rsidRPr="00A8293A">
              <w:t>protective hand and arm covering</w:t>
            </w:r>
          </w:p>
          <w:p w:rsidR="00000000" w:rsidRPr="00A8293A" w:rsidP="00A8293A">
            <w:pPr>
              <w:pStyle w:val="ListBullet2"/>
            </w:pPr>
            <w:r w:rsidRPr="00A8293A">
              <w:t>protective head and hair covering</w:t>
            </w:r>
          </w:p>
          <w:p w:rsidR="00000000" w:rsidRPr="00A8293A" w:rsidP="00A8293A">
            <w:pPr>
              <w:pStyle w:val="ListBullet2"/>
            </w:pPr>
            <w:r w:rsidRPr="00A8293A">
              <w:t>uniforms</w:t>
            </w:r>
          </w:p>
          <w:p w:rsidR="00000000" w:rsidRPr="00A8293A" w:rsidP="00A8293A">
            <w:pPr>
              <w:pStyle w:val="ListBullet2"/>
            </w:pPr>
            <w:r w:rsidRPr="00A8293A">
              <w:t>waterproof clothing</w:t>
            </w:r>
          </w:p>
          <w:p w:rsidR="00000000" w:rsidRPr="00A8293A" w:rsidP="00A8293A">
            <w:pPr>
              <w:pStyle w:val="ListBullet2"/>
            </w:pPr>
            <w:r w:rsidRPr="00A8293A">
              <w:t>work, safety or waterproof footwear</w:t>
            </w:r>
          </w:p>
          <w:p w:rsidR="00000000" w:rsidP="00A8293A">
            <w:pPr>
              <w:pStyle w:val="ListBullet"/>
              <w:rPr>
                <w:lang w:val="en-NZ"/>
              </w:rPr>
            </w:pPr>
            <w:r w:rsidRPr="00A8293A">
              <w:t>requirements set out in standards</w:t>
            </w:r>
            <w:r w:rsidRPr="00A8293A">
              <w:t xml:space="preserve"> and codes of practice.</w:t>
            </w:r>
          </w:p>
        </w:tc>
      </w:tr>
      <w:tr w:rsidTr="009F5B8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BoldandItalics"/>
              </w:rPr>
              <w:t>Workplace</w:t>
            </w:r>
            <w:r w:rsidRPr="00A8293A">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ListBullet"/>
            </w:pPr>
            <w:r w:rsidRPr="00A8293A">
              <w:t>enterprise-specific requirements</w:t>
            </w:r>
          </w:p>
          <w:p w:rsidR="00000000" w:rsidRPr="00A8293A" w:rsidP="00A8293A">
            <w:pPr>
              <w:pStyle w:val="ListBullet"/>
            </w:pPr>
            <w:r w:rsidRPr="00A8293A">
              <w:t>OH&amp;S requirements</w:t>
            </w:r>
          </w:p>
          <w:p w:rsidR="00000000" w:rsidRPr="00A8293A" w:rsidP="00A8293A">
            <w:pPr>
              <w:pStyle w:val="ListBullet"/>
            </w:pPr>
            <w:r w:rsidRPr="00A8293A">
              <w:t xml:space="preserve">hygiene and sanitation requirements </w:t>
            </w:r>
          </w:p>
          <w:p w:rsidR="00000000" w:rsidRPr="00A8293A" w:rsidP="00A8293A">
            <w:pPr>
              <w:pStyle w:val="ListBullet"/>
            </w:pPr>
            <w:r w:rsidRPr="00A8293A">
              <w:t>QA requirements</w:t>
            </w:r>
          </w:p>
          <w:p w:rsidR="00000000" w:rsidRPr="00A8293A" w:rsidP="00A8293A">
            <w:pPr>
              <w:pStyle w:val="ListBullet"/>
            </w:pPr>
            <w:r w:rsidRPr="00A8293A">
              <w:t>Standard Operating Procedures (SOPs)</w:t>
            </w:r>
          </w:p>
          <w:p w:rsidR="00000000" w:rsidRPr="00A8293A" w:rsidP="00A8293A">
            <w:pPr>
              <w:pStyle w:val="ListBullet"/>
            </w:pPr>
            <w:r w:rsidRPr="00A8293A">
              <w:t>the ability to perform the task to production requirements</w:t>
            </w:r>
          </w:p>
          <w:p w:rsidR="00000000" w:rsidP="00A8293A">
            <w:pPr>
              <w:pStyle w:val="ListBullet"/>
              <w:rPr>
                <w:lang w:val="en-NZ"/>
              </w:rPr>
            </w:pPr>
            <w:r w:rsidRPr="00A8293A">
              <w:t>work instructions.</w:t>
            </w:r>
          </w:p>
        </w:tc>
      </w:tr>
      <w:tr w:rsidTr="009F5B8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BoldandItalics"/>
              </w:rPr>
              <w:t>Dispositions</w:t>
            </w:r>
            <w:r w:rsidRPr="00A8293A">
              <w:t xml:space="preserve"> may be made: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ListBullet"/>
              <w:rPr>
                <w:lang w:val="en-NZ"/>
              </w:rPr>
            </w:pPr>
            <w:r w:rsidRPr="00A8293A">
              <w:t>in prescribed formats, according to regulatory requirements.</w:t>
            </w:r>
          </w:p>
        </w:tc>
      </w:tr>
      <w:tr w:rsidTr="009F5B8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BoldandItalics"/>
              </w:rPr>
              <w:t>Diseases</w:t>
            </w:r>
            <w:r w:rsidRPr="00A8293A">
              <w:t xml:space="preserve"> detected at ante-mortem inspection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ListBullet"/>
              <w:rPr>
                <w:lang w:val="en-NZ"/>
              </w:rPr>
            </w:pPr>
            <w:r w:rsidRPr="00A8293A">
              <w:t>exotic or notifiable diseases.</w:t>
            </w:r>
          </w:p>
        </w:tc>
      </w:tr>
      <w:tr w:rsidTr="009F5B8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BoldandItalics"/>
              </w:rPr>
              <w:t>Reports</w:t>
            </w:r>
            <w:r w:rsidRPr="00A8293A">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ListBullet"/>
            </w:pPr>
            <w:r w:rsidRPr="00A8293A">
              <w:t>be in diagrammatic, sketch, tabular or graphic formats</w:t>
            </w:r>
          </w:p>
          <w:p w:rsidR="00000000" w:rsidRPr="00A8293A" w:rsidP="00A8293A">
            <w:pPr>
              <w:pStyle w:val="ListBullet"/>
            </w:pPr>
            <w:r w:rsidRPr="00A8293A">
              <w:t>be presented in writing, in standard formats</w:t>
            </w:r>
          </w:p>
          <w:p w:rsidR="00000000" w:rsidRPr="00A8293A" w:rsidP="00A8293A">
            <w:pPr>
              <w:pStyle w:val="ListBullet"/>
            </w:pPr>
            <w:r w:rsidRPr="00A8293A">
              <w:t>be presented orally</w:t>
            </w:r>
          </w:p>
          <w:p w:rsidR="00000000" w:rsidP="00A8293A">
            <w:pPr>
              <w:pStyle w:val="ListBullet"/>
              <w:rPr>
                <w:lang w:val="en-NZ"/>
              </w:rPr>
            </w:pPr>
            <w:r w:rsidRPr="00A8293A">
              <w:t>include information and mathematical data gathered, interpreted and summarised from a range of complex and unfamiliar sour</w:t>
            </w:r>
            <w:r w:rsidRPr="00A8293A">
              <w:t>ces.</w:t>
            </w:r>
          </w:p>
        </w:tc>
      </w:tr>
      <w:tr w:rsidTr="009F5B8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BoldandItalics"/>
              </w:rPr>
              <w:t>Communication skills</w:t>
            </w:r>
            <w:r w:rsidRPr="00A829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ListBullet"/>
            </w:pPr>
            <w:r w:rsidRPr="00A8293A">
              <w:t>applying numeracy skills to workplace requirements</w:t>
            </w:r>
          </w:p>
          <w:p w:rsidR="00000000" w:rsidRPr="00A8293A" w:rsidP="00A8293A">
            <w:pPr>
              <w:pStyle w:val="ListBullet"/>
            </w:pPr>
            <w:r w:rsidRPr="00A8293A">
              <w:t>being appropriately assertive</w:t>
            </w:r>
          </w:p>
          <w:p w:rsidR="00000000" w:rsidRPr="00A8293A" w:rsidP="00A8293A">
            <w:pPr>
              <w:pStyle w:val="ListBullet"/>
            </w:pPr>
            <w:r w:rsidRPr="00A8293A">
              <w:t>interpreting needs of internal and/or external customers</w:t>
            </w:r>
          </w:p>
          <w:p w:rsidR="00000000" w:rsidRPr="00A8293A" w:rsidP="00A8293A">
            <w:pPr>
              <w:pStyle w:val="ListBullet"/>
            </w:pPr>
            <w:r w:rsidRPr="00A8293A">
              <w:t>listening and understanding</w:t>
            </w:r>
          </w:p>
          <w:p w:rsidR="00000000" w:rsidRPr="00A8293A" w:rsidP="00A8293A">
            <w:pPr>
              <w:pStyle w:val="ListBullet"/>
            </w:pPr>
            <w:r w:rsidRPr="00A8293A">
              <w:t>reading and interpreting workplace-related docume</w:t>
            </w:r>
            <w:r w:rsidRPr="00A8293A">
              <w:t>ntation</w:t>
            </w:r>
          </w:p>
          <w:p w:rsidR="00000000" w:rsidRPr="00A8293A" w:rsidP="00A8293A">
            <w:pPr>
              <w:pStyle w:val="ListBullet"/>
            </w:pPr>
            <w:r w:rsidRPr="00A8293A">
              <w:t>sharing information</w:t>
            </w:r>
          </w:p>
          <w:p w:rsidR="00000000" w:rsidRPr="00A8293A" w:rsidP="00A8293A">
            <w:pPr>
              <w:pStyle w:val="ListBullet"/>
            </w:pPr>
            <w:r w:rsidRPr="00A8293A">
              <w:t>speaking clearly and directly</w:t>
            </w:r>
          </w:p>
          <w:p w:rsidR="00000000" w:rsidRPr="00A8293A" w:rsidP="00A8293A">
            <w:pPr>
              <w:pStyle w:val="ListBullet"/>
            </w:pPr>
            <w:r w:rsidRPr="00A8293A">
              <w:t>using negotiation and persuasion skills</w:t>
            </w:r>
          </w:p>
          <w:p w:rsidR="00000000" w:rsidRPr="00A8293A" w:rsidP="00A8293A">
            <w:pPr>
              <w:pStyle w:val="ListBullet"/>
            </w:pPr>
            <w:r w:rsidRPr="00A8293A">
              <w:t>working with diverse individuals and groups</w:t>
            </w:r>
          </w:p>
          <w:p w:rsidR="00000000" w:rsidRPr="00A8293A" w:rsidP="00A8293A">
            <w:pPr>
              <w:pStyle w:val="ListBullet"/>
            </w:pPr>
            <w:r w:rsidRPr="00A8293A">
              <w:t>writing to audience needs.</w:t>
            </w:r>
          </w:p>
        </w:tc>
      </w:tr>
    </w:tbl>
    <w:p w:rsidR="009F5B89" w:rsidP="00A8293A">
      <w:pPr>
        <w:pStyle w:val="BodyText"/>
      </w:pPr>
    </w:p>
    <w:p w:rsidR="009F5B89" w:rsidP="00A8293A">
      <w:pPr>
        <w:pStyle w:val="BodyText"/>
      </w:pPr>
    </w:p>
    <w:p w:rsidR="00000000" w:rsidRPr="00A8293A" w:rsidP="00A8293A">
      <w:pPr>
        <w:pStyle w:val="Heading1"/>
      </w:pPr>
      <w:bookmarkStart w:id="12" w:name="O_334812"/>
      <w:bookmarkEnd w:id="12"/>
      <w:r w:rsidRPr="00A8293A">
        <w:t>Unit Sector(s)</w:t>
      </w:r>
    </w:p>
    <w:tbl>
      <w:tblPr>
        <w:tblW w:w="0" w:type="auto"/>
        <w:tblLayout w:type="fixed"/>
        <w:tblCellMar>
          <w:left w:w="62" w:type="dxa"/>
          <w:right w:w="62" w:type="dxa"/>
        </w:tblCellMar>
        <w:tblLook w:val="0000"/>
      </w:tblPr>
      <w:tblGrid>
        <w:gridCol w:w="2654"/>
        <w:gridCol w:w="5868"/>
      </w:tblGrid>
      <w:tr w:rsidTr="009F5B8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p>
        </w:tc>
      </w:tr>
    </w:tbl>
    <w:p w:rsidR="009F5B89" w:rsidP="00A8293A">
      <w:pPr>
        <w:pStyle w:val="BodyText"/>
      </w:pPr>
    </w:p>
    <w:p w:rsidR="009F5B89" w:rsidP="00A8293A">
      <w:pPr>
        <w:pStyle w:val="BodyText"/>
      </w:pPr>
    </w:p>
    <w:p w:rsidR="00000000" w:rsidRPr="00A8293A" w:rsidP="00A8293A">
      <w:pPr>
        <w:pStyle w:val="Heading1"/>
      </w:pPr>
      <w:bookmarkStart w:id="13" w:name="O_334801"/>
      <w:bookmarkEnd w:id="13"/>
      <w:r w:rsidRPr="00A8293A">
        <w:t>Co-requisite units</w:t>
      </w:r>
    </w:p>
    <w:tbl>
      <w:tblPr>
        <w:tblW w:w="0" w:type="auto"/>
        <w:tblLayout w:type="fixed"/>
        <w:tblCellMar>
          <w:left w:w="62" w:type="dxa"/>
          <w:right w:w="62" w:type="dxa"/>
        </w:tblCellMar>
        <w:tblLook w:val="0000"/>
      </w:tblPr>
      <w:tblGrid>
        <w:gridCol w:w="2641"/>
        <w:gridCol w:w="1322"/>
        <w:gridCol w:w="4559"/>
      </w:tblGrid>
      <w:tr w:rsidTr="009F5B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p>
        </w:tc>
      </w:tr>
      <w:tr w:rsidTr="009F5B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p>
        </w:tc>
      </w:tr>
      <w:tr w:rsidTr="009F5B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p>
        </w:tc>
      </w:tr>
    </w:tbl>
    <w:p w:rsidR="009F5B89" w:rsidP="00A8293A">
      <w:pPr>
        <w:pStyle w:val="BodyText"/>
      </w:pPr>
    </w:p>
    <w:p w:rsidR="009F5B89" w:rsidP="00A8293A">
      <w:pPr>
        <w:pStyle w:val="BodyText"/>
      </w:pPr>
    </w:p>
    <w:p w:rsidR="00000000" w:rsidRPr="00A8293A" w:rsidP="00A8293A">
      <w:pPr>
        <w:pStyle w:val="Heading1"/>
      </w:pPr>
      <w:bookmarkStart w:id="14" w:name="O_334800"/>
      <w:bookmarkEnd w:id="14"/>
      <w:r w:rsidRPr="00A8293A">
        <w:t>Competency field</w:t>
      </w:r>
    </w:p>
    <w:tbl>
      <w:tblPr>
        <w:tblW w:w="0" w:type="auto"/>
        <w:tblLayout w:type="fixed"/>
        <w:tblCellMar>
          <w:left w:w="62" w:type="dxa"/>
          <w:right w:w="62" w:type="dxa"/>
        </w:tblCellMar>
        <w:tblLook w:val="0000"/>
      </w:tblPr>
      <w:tblGrid>
        <w:gridCol w:w="2784"/>
        <w:gridCol w:w="5738"/>
      </w:tblGrid>
      <w:tr w:rsidTr="009F5B8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93A">
            <w:pPr>
              <w:pStyle w:val="BodyText"/>
              <w:rPr>
                <w:lang w:val="en-NZ"/>
              </w:rPr>
            </w:pPr>
            <w:r w:rsidRPr="00A829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93A" w:rsidP="00A8293A">
            <w:pPr>
              <w:pStyle w:val="BodyText"/>
            </w:pPr>
          </w:p>
        </w:tc>
      </w:tr>
    </w:tbl>
    <w:p w:rsidR="009F5B89" w:rsidP="00A8293A">
      <w:pPr>
        <w:pStyle w:val="BodyText"/>
      </w:pPr>
    </w:p>
    <w:p w:rsidR="009F5B89" w:rsidP="00A8293A">
      <w:pPr>
        <w:pStyle w:val="BodyText"/>
      </w:pPr>
    </w:p>
    <w:p w:rsidR="00000000" w:rsidRPr="00A8293A" w:rsidP="00A8293A"/>
    <w:sectPr w:rsidSect="00A829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B89" w:rsidP="009F5B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89" w:rsidP="00A829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5B89" w:rsidP="00A829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F5B89" w:rsidP="00A829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B89" w:rsidP="009F5B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B89" w:rsidP="00A8293A">
    <w:pPr>
      <w:pStyle w:val="Header"/>
      <w:framePr w:wrap="around"/>
    </w:pPr>
    <w:r>
      <w:fldChar w:fldCharType="begin"/>
    </w:r>
    <w:r>
      <w:instrText xml:space="preserve"> TITLE   \* MERGEFORMAT </w:instrText>
    </w:r>
    <w:r>
      <w:fldChar w:fldCharType="separate"/>
    </w:r>
    <w:r>
      <w:t>MTMP3071C Perform ante-mortem inspection and make disposition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5B89" w:rsidP="00A829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8C8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703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72A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9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293A"/>
    <w:pPr>
      <w:spacing w:before="360" w:after="60"/>
      <w:outlineLvl w:val="0"/>
    </w:pPr>
    <w:rPr>
      <w:sz w:val="32"/>
    </w:rPr>
  </w:style>
  <w:style w:type="paragraph" w:styleId="Heading2">
    <w:name w:val="heading 2"/>
    <w:basedOn w:val="HeadingBase"/>
    <w:next w:val="BodyText"/>
    <w:link w:val="Heading2Char"/>
    <w:qFormat/>
    <w:rsid w:val="00A8293A"/>
    <w:pPr>
      <w:keepLines/>
      <w:spacing w:before="240" w:after="120"/>
      <w:outlineLvl w:val="1"/>
    </w:pPr>
    <w:rPr>
      <w:sz w:val="28"/>
      <w:szCs w:val="40"/>
    </w:rPr>
  </w:style>
  <w:style w:type="paragraph" w:styleId="Heading3">
    <w:name w:val="heading 3"/>
    <w:basedOn w:val="HeadingBase"/>
    <w:next w:val="BodyText"/>
    <w:link w:val="Heading3Char"/>
    <w:qFormat/>
    <w:rsid w:val="00A8293A"/>
    <w:pPr>
      <w:spacing w:before="180" w:after="120"/>
      <w:outlineLvl w:val="2"/>
    </w:pPr>
    <w:rPr>
      <w:spacing w:val="-10"/>
      <w:kern w:val="32"/>
    </w:rPr>
  </w:style>
  <w:style w:type="paragraph" w:styleId="Heading4">
    <w:name w:val="heading 4"/>
    <w:basedOn w:val="HeadingBase"/>
    <w:next w:val="BodyText"/>
    <w:link w:val="Heading4Char"/>
    <w:qFormat/>
    <w:rsid w:val="00A8293A"/>
    <w:pPr>
      <w:spacing w:before="160" w:after="120"/>
      <w:outlineLvl w:val="3"/>
    </w:pPr>
    <w:rPr>
      <w:sz w:val="22"/>
    </w:rPr>
  </w:style>
  <w:style w:type="paragraph" w:styleId="Heading5">
    <w:name w:val="heading 5"/>
    <w:basedOn w:val="HeadingBase"/>
    <w:next w:val="Normal"/>
    <w:link w:val="Heading5Char"/>
    <w:qFormat/>
    <w:rsid w:val="00A8293A"/>
    <w:pPr>
      <w:spacing w:before="80"/>
      <w:outlineLvl w:val="4"/>
    </w:pPr>
    <w:rPr>
      <w:color w:val="918585"/>
      <w:sz w:val="20"/>
    </w:rPr>
  </w:style>
  <w:style w:type="paragraph" w:styleId="Heading6">
    <w:name w:val="heading 6"/>
    <w:basedOn w:val="HeadingBase"/>
    <w:next w:val="Normal"/>
    <w:link w:val="Heading6Char"/>
    <w:qFormat/>
    <w:rsid w:val="00A8293A"/>
    <w:pPr>
      <w:spacing w:before="60"/>
      <w:outlineLvl w:val="5"/>
    </w:pPr>
    <w:rPr>
      <w:color w:val="918585"/>
      <w:sz w:val="20"/>
    </w:rPr>
  </w:style>
  <w:style w:type="paragraph" w:styleId="Heading7">
    <w:name w:val="heading 7"/>
    <w:basedOn w:val="Normal"/>
    <w:next w:val="Normal"/>
    <w:link w:val="Heading7Char"/>
    <w:qFormat/>
    <w:rsid w:val="00A8293A"/>
    <w:pPr>
      <w:ind w:left="720"/>
      <w:outlineLvl w:val="6"/>
    </w:pPr>
    <w:rPr>
      <w:i/>
    </w:rPr>
  </w:style>
  <w:style w:type="paragraph" w:styleId="Heading8">
    <w:name w:val="heading 8"/>
    <w:basedOn w:val="Normal"/>
    <w:next w:val="Normal"/>
    <w:link w:val="Heading8Char"/>
    <w:qFormat/>
    <w:rsid w:val="00A8293A"/>
    <w:pPr>
      <w:ind w:left="720"/>
      <w:outlineLvl w:val="7"/>
    </w:pPr>
    <w:rPr>
      <w:i/>
    </w:rPr>
  </w:style>
  <w:style w:type="paragraph" w:styleId="Heading9">
    <w:name w:val="heading 9"/>
    <w:basedOn w:val="Normal"/>
    <w:next w:val="Normal"/>
    <w:link w:val="Heading9Char"/>
    <w:qFormat/>
    <w:rsid w:val="00A8293A"/>
    <w:pPr>
      <w:ind w:left="720"/>
      <w:outlineLvl w:val="8"/>
    </w:pPr>
    <w:rPr>
      <w:i/>
    </w:rPr>
  </w:style>
  <w:style w:type="character" w:default="1" w:styleId="DefaultParagraphFont">
    <w:name w:val="Default Paragraph Font"/>
    <w:uiPriority w:val="1"/>
    <w:unhideWhenUsed/>
    <w:rsid w:val="00A829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93A"/>
  </w:style>
  <w:style w:type="character" w:customStyle="1" w:styleId="Heading1Char">
    <w:name w:val="Heading 1 Char"/>
    <w:basedOn w:val="DefaultParagraphFont"/>
    <w:link w:val="Heading1"/>
    <w:rsid w:val="00A8293A"/>
    <w:rPr>
      <w:rFonts w:ascii="Times New Roman" w:eastAsia="Times New Roman" w:hAnsi="Times New Roman" w:cs="Times New Roman"/>
      <w:b/>
      <w:sz w:val="32"/>
      <w:szCs w:val="20"/>
      <w:lang w:eastAsia="en-US"/>
    </w:rPr>
  </w:style>
  <w:style w:type="paragraph" w:styleId="BodyText">
    <w:name w:val="Body Text"/>
    <w:basedOn w:val="Normal"/>
    <w:link w:val="BodyTextChar"/>
    <w:rsid w:val="00A829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293A"/>
    <w:rPr>
      <w:rFonts w:ascii="Times New Roman" w:eastAsia="Times New Roman" w:hAnsi="Times New Roman" w:cs="Times New Roman"/>
      <w:sz w:val="24"/>
      <w:lang w:val="en-US" w:eastAsia="en-US"/>
    </w:rPr>
  </w:style>
  <w:style w:type="paragraph" w:styleId="Footer">
    <w:name w:val="footer"/>
    <w:basedOn w:val="Normal"/>
    <w:link w:val="FooterChar"/>
    <w:rsid w:val="00A829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93A"/>
    <w:rPr>
      <w:rFonts w:ascii="Times New Roman" w:eastAsia="Times New Roman" w:hAnsi="Times New Roman" w:cs="Times New Roman"/>
      <w:sz w:val="16"/>
      <w:lang w:val="en-US" w:eastAsia="en-US"/>
    </w:rPr>
  </w:style>
  <w:style w:type="paragraph" w:styleId="List">
    <w:name w:val="List"/>
    <w:basedOn w:val="BodyText"/>
    <w:next w:val="BodyText"/>
    <w:rsid w:val="00A8293A"/>
    <w:pPr>
      <w:tabs>
        <w:tab w:val="left" w:pos="340"/>
      </w:tabs>
      <w:spacing w:before="60" w:after="60"/>
      <w:ind w:left="340" w:hanging="340"/>
    </w:pPr>
  </w:style>
  <w:style w:type="paragraph" w:styleId="ListBullet">
    <w:name w:val="List Bullet"/>
    <w:basedOn w:val="List"/>
    <w:rsid w:val="00A8293A"/>
    <w:pPr>
      <w:numPr>
        <w:numId w:val="13"/>
      </w:numPr>
      <w:tabs>
        <w:tab w:val="clear" w:pos="340"/>
      </w:tabs>
      <w:spacing w:before="40" w:after="40"/>
    </w:pPr>
  </w:style>
  <w:style w:type="character" w:customStyle="1" w:styleId="SpecialBold">
    <w:name w:val="Special Bold"/>
    <w:basedOn w:val="DefaultParagraphFont"/>
    <w:rsid w:val="00A8293A"/>
    <w:rPr>
      <w:b/>
      <w:spacing w:val="0"/>
    </w:rPr>
  </w:style>
  <w:style w:type="paragraph" w:styleId="ListBullet2">
    <w:name w:val="List Bullet 2"/>
    <w:basedOn w:val="List2"/>
    <w:rsid w:val="00A8293A"/>
    <w:pPr>
      <w:numPr>
        <w:numId w:val="14"/>
      </w:numPr>
      <w:tabs>
        <w:tab w:val="clear" w:pos="680"/>
      </w:tabs>
    </w:pPr>
  </w:style>
  <w:style w:type="paragraph" w:styleId="Header">
    <w:name w:val="header"/>
    <w:basedOn w:val="Normal"/>
    <w:link w:val="HeaderChar"/>
    <w:rsid w:val="00A829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9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293A"/>
    <w:pPr>
      <w:spacing w:before="240" w:after="120"/>
      <w:outlineLvl w:val="0"/>
    </w:pPr>
    <w:rPr>
      <w:rFonts w:ascii="Times New Roman" w:hAnsi="Times New Roman"/>
      <w:b/>
      <w:sz w:val="28"/>
    </w:rPr>
  </w:style>
  <w:style w:type="paragraph" w:customStyle="1" w:styleId="AllowPageBreak">
    <w:name w:val="AllowPageBreak"/>
    <w:rsid w:val="00A829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293A"/>
    <w:pPr>
      <w:tabs>
        <w:tab w:val="left" w:pos="680"/>
      </w:tabs>
      <w:spacing w:before="60" w:after="60"/>
      <w:ind w:left="680" w:hanging="340"/>
    </w:pPr>
  </w:style>
  <w:style w:type="character" w:customStyle="1" w:styleId="Underline">
    <w:name w:val="Underline"/>
    <w:basedOn w:val="DefaultParagraphFont"/>
    <w:qFormat/>
    <w:rsid w:val="00A8293A"/>
    <w:rPr>
      <w:u w:val="single"/>
    </w:rPr>
  </w:style>
  <w:style w:type="character" w:customStyle="1" w:styleId="BoldandItalics">
    <w:name w:val="Bold and Italics"/>
    <w:qFormat/>
    <w:rsid w:val="00A8293A"/>
    <w:rPr>
      <w:b/>
      <w:i/>
      <w:u w:val="none"/>
    </w:rPr>
  </w:style>
  <w:style w:type="character" w:customStyle="1" w:styleId="Heading2Char">
    <w:name w:val="Heading 2 Char"/>
    <w:basedOn w:val="DefaultParagraphFont"/>
    <w:link w:val="Heading2"/>
    <w:rsid w:val="00A829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9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9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9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9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9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29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293A"/>
    <w:rPr>
      <w:rFonts w:ascii="Courier New" w:eastAsia="Times New Roman" w:hAnsi="Courier New" w:cs="Times New Roman"/>
      <w:i/>
      <w:szCs w:val="20"/>
      <w:lang w:val="en-US" w:eastAsia="en-US"/>
    </w:rPr>
  </w:style>
  <w:style w:type="paragraph" w:customStyle="1" w:styleId="HeadingBase">
    <w:name w:val="Heading Base"/>
    <w:rsid w:val="00A829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93A"/>
    <w:pPr>
      <w:tabs>
        <w:tab w:val="right" w:leader="dot" w:pos="9072"/>
      </w:tabs>
      <w:ind w:left="567"/>
    </w:pPr>
    <w:rPr>
      <w:szCs w:val="22"/>
    </w:rPr>
  </w:style>
  <w:style w:type="paragraph" w:customStyle="1" w:styleId="TOCBase">
    <w:name w:val="TOC Base"/>
    <w:rsid w:val="00A829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93A"/>
    <w:pPr>
      <w:tabs>
        <w:tab w:val="right" w:leader="dot" w:pos="9072"/>
      </w:tabs>
      <w:spacing w:before="40" w:after="40"/>
      <w:ind w:left="284"/>
    </w:pPr>
    <w:rPr>
      <w:rFonts w:ascii="Times New Roman" w:hAnsi="Times New Roman"/>
    </w:rPr>
  </w:style>
  <w:style w:type="paragraph" w:styleId="TOC1">
    <w:name w:val="toc 1"/>
    <w:basedOn w:val="TOCBase"/>
    <w:next w:val="Normal"/>
    <w:rsid w:val="00A829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293A"/>
    <w:pPr>
      <w:spacing w:before="5040"/>
      <w:jc w:val="center"/>
    </w:pPr>
    <w:rPr>
      <w:sz w:val="48"/>
      <w:szCs w:val="72"/>
      <w:lang w:val="en-US"/>
    </w:rPr>
  </w:style>
  <w:style w:type="character" w:customStyle="1" w:styleId="TitleChar">
    <w:name w:val="Title Char"/>
    <w:basedOn w:val="DefaultParagraphFont"/>
    <w:link w:val="Title"/>
    <w:rsid w:val="00A829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93A"/>
    <w:pPr>
      <w:tabs>
        <w:tab w:val="left" w:pos="3600"/>
        <w:tab w:val="left" w:pos="3958"/>
      </w:tabs>
    </w:pPr>
  </w:style>
  <w:style w:type="paragraph" w:customStyle="1" w:styleId="Note">
    <w:name w:val="Note"/>
    <w:basedOn w:val="BodyText"/>
    <w:rsid w:val="00A829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93A"/>
    <w:pPr>
      <w:framePr w:wrap="auto" w:hAnchor="text" w:y="6049"/>
    </w:pPr>
    <w:rPr>
      <w:color w:val="000000"/>
      <w:sz w:val="40"/>
    </w:rPr>
  </w:style>
  <w:style w:type="paragraph" w:customStyle="1" w:styleId="TOCTitle">
    <w:name w:val="TOCTitle"/>
    <w:basedOn w:val="Heading1"/>
    <w:rsid w:val="00A8293A"/>
    <w:pPr>
      <w:spacing w:after="240"/>
      <w:jc w:val="center"/>
      <w:outlineLvl w:val="9"/>
    </w:pPr>
    <w:rPr>
      <w:caps/>
    </w:rPr>
  </w:style>
  <w:style w:type="paragraph" w:customStyle="1" w:styleId="Version">
    <w:name w:val="Version"/>
    <w:rsid w:val="00A829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93A"/>
    <w:pPr>
      <w:keepNext w:val="0"/>
      <w:tabs>
        <w:tab w:val="right" w:pos="4176"/>
      </w:tabs>
      <w:ind w:left="198" w:hanging="198"/>
    </w:pPr>
    <w:rPr>
      <w:rFonts w:ascii="Garamond" w:hAnsi="Garamond"/>
    </w:rPr>
  </w:style>
  <w:style w:type="paragraph" w:styleId="IndexHeading">
    <w:name w:val="index heading"/>
    <w:basedOn w:val="Normal"/>
    <w:next w:val="Index1"/>
    <w:semiHidden/>
    <w:rsid w:val="00A8293A"/>
    <w:pPr>
      <w:spacing w:before="120" w:after="120"/>
    </w:pPr>
    <w:rPr>
      <w:rFonts w:ascii="Arial" w:hAnsi="Arial"/>
      <w:b/>
      <w:color w:val="918585"/>
      <w:sz w:val="24"/>
    </w:rPr>
  </w:style>
  <w:style w:type="paragraph" w:customStyle="1" w:styleId="Chapter">
    <w:name w:val="Chapter"/>
    <w:basedOn w:val="Normal"/>
    <w:rsid w:val="00A8293A"/>
    <w:pPr>
      <w:spacing w:before="240"/>
    </w:pPr>
    <w:rPr>
      <w:rFonts w:ascii="Times New Roman" w:hAnsi="Times New Roman"/>
      <w:smallCaps/>
      <w:spacing w:val="80"/>
      <w:sz w:val="28"/>
    </w:rPr>
  </w:style>
  <w:style w:type="paragraph" w:customStyle="1" w:styleId="InChapter">
    <w:name w:val="InChapter"/>
    <w:basedOn w:val="Heading3"/>
    <w:rsid w:val="00A8293A"/>
    <w:pPr>
      <w:spacing w:after="240"/>
      <w:outlineLvl w:val="9"/>
    </w:pPr>
    <w:rPr>
      <w:noProof/>
    </w:rPr>
  </w:style>
  <w:style w:type="paragraph" w:styleId="Index2">
    <w:name w:val="index 2"/>
    <w:basedOn w:val="Normal"/>
    <w:next w:val="Normal"/>
    <w:semiHidden/>
    <w:rsid w:val="00A8293A"/>
    <w:pPr>
      <w:tabs>
        <w:tab w:val="right" w:pos="4176"/>
      </w:tabs>
      <w:ind w:left="568" w:hanging="284"/>
    </w:pPr>
    <w:rPr>
      <w:rFonts w:ascii="Garamond" w:hAnsi="Garamond"/>
    </w:rPr>
  </w:style>
  <w:style w:type="paragraph" w:customStyle="1" w:styleId="Byline">
    <w:name w:val="Byline"/>
    <w:rsid w:val="00A829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93A"/>
    <w:pPr>
      <w:tabs>
        <w:tab w:val="clear" w:pos="3600"/>
        <w:tab w:val="clear" w:pos="3958"/>
      </w:tabs>
      <w:jc w:val="right"/>
    </w:pPr>
  </w:style>
  <w:style w:type="character" w:styleId="Emphasis">
    <w:name w:val="Emphasis"/>
    <w:basedOn w:val="DefaultParagraphFont"/>
    <w:qFormat/>
    <w:rsid w:val="00A8293A"/>
    <w:rPr>
      <w:i/>
    </w:rPr>
  </w:style>
  <w:style w:type="paragraph" w:styleId="Caption">
    <w:name w:val="caption"/>
    <w:basedOn w:val="BodyText"/>
    <w:next w:val="Normal"/>
    <w:qFormat/>
    <w:rsid w:val="00A8293A"/>
    <w:pPr>
      <w:framePr w:w="2268" w:hSpace="181" w:vSpace="181" w:wrap="around" w:vAnchor="text" w:hAnchor="page" w:x="1135" w:y="285" w:anchorLock="1"/>
    </w:pPr>
    <w:rPr>
      <w:i/>
    </w:rPr>
  </w:style>
  <w:style w:type="paragraph" w:customStyle="1" w:styleId="MiniTOCTitle">
    <w:name w:val="MiniTOCTitle"/>
    <w:basedOn w:val="Heading4"/>
    <w:rsid w:val="00A8293A"/>
    <w:pPr>
      <w:spacing w:before="240"/>
      <w:outlineLvl w:val="9"/>
    </w:pPr>
    <w:rPr>
      <w:noProof/>
      <w:sz w:val="24"/>
    </w:rPr>
  </w:style>
  <w:style w:type="paragraph" w:customStyle="1" w:styleId="MiniTOCItem">
    <w:name w:val="MiniTOCItem"/>
    <w:basedOn w:val="ListBullet"/>
    <w:rsid w:val="00A8293A"/>
    <w:pPr>
      <w:numPr>
        <w:numId w:val="0"/>
      </w:numPr>
      <w:tabs>
        <w:tab w:val="right" w:leader="dot" w:pos="6521"/>
      </w:tabs>
      <w:spacing w:before="0" w:after="0"/>
    </w:pPr>
  </w:style>
  <w:style w:type="paragraph" w:customStyle="1" w:styleId="TOFTitle">
    <w:name w:val="TOFTitle"/>
    <w:basedOn w:val="TOCTitle"/>
    <w:rsid w:val="00A8293A"/>
  </w:style>
  <w:style w:type="paragraph" w:styleId="TableofFigures">
    <w:name w:val="table of figures"/>
    <w:basedOn w:val="Normal"/>
    <w:next w:val="Normal"/>
    <w:semiHidden/>
    <w:rsid w:val="00A8293A"/>
    <w:pPr>
      <w:tabs>
        <w:tab w:val="right" w:leader="dot" w:pos="9072"/>
      </w:tabs>
      <w:ind w:left="970" w:hanging="403"/>
    </w:pPr>
    <w:rPr>
      <w:rFonts w:ascii="Times New Roman" w:hAnsi="Times New Roman"/>
      <w:b/>
    </w:rPr>
  </w:style>
  <w:style w:type="paragraph" w:styleId="ListNumber">
    <w:name w:val="List Number"/>
    <w:basedOn w:val="List"/>
    <w:rsid w:val="00A8293A"/>
    <w:pPr>
      <w:numPr>
        <w:numId w:val="11"/>
      </w:numPr>
    </w:pPr>
  </w:style>
  <w:style w:type="character" w:customStyle="1" w:styleId="WingdingSymbols">
    <w:name w:val="Wingding Symbols"/>
    <w:rsid w:val="00A8293A"/>
    <w:rPr>
      <w:rFonts w:ascii="Wingdings" w:hAnsi="Wingdings"/>
    </w:rPr>
  </w:style>
  <w:style w:type="paragraph" w:customStyle="1" w:styleId="TableHeading">
    <w:name w:val="Table Heading"/>
    <w:basedOn w:val="HeadingBase"/>
    <w:rsid w:val="00A8293A"/>
    <w:pPr>
      <w:keepLines/>
      <w:pBdr>
        <w:bottom w:val="single" w:sz="6" w:space="1" w:color="918585"/>
      </w:pBdr>
      <w:spacing w:before="240"/>
    </w:pPr>
  </w:style>
  <w:style w:type="character" w:customStyle="1" w:styleId="HotSpot">
    <w:name w:val="HotSpot"/>
    <w:rsid w:val="00A8293A"/>
    <w:rPr>
      <w:color w:val="0033CC"/>
      <w:u w:val="none"/>
    </w:rPr>
  </w:style>
  <w:style w:type="paragraph" w:customStyle="1" w:styleId="BodyTextRight">
    <w:name w:val="Body Text Right"/>
    <w:basedOn w:val="BodyText"/>
    <w:rsid w:val="00A8293A"/>
    <w:pPr>
      <w:spacing w:before="0" w:after="0"/>
      <w:jc w:val="right"/>
    </w:pPr>
  </w:style>
  <w:style w:type="paragraph" w:styleId="Index3">
    <w:name w:val="index 3"/>
    <w:basedOn w:val="ListNumber2"/>
    <w:next w:val="Normal"/>
    <w:semiHidden/>
    <w:rsid w:val="00A8293A"/>
    <w:pPr>
      <w:numPr>
        <w:numId w:val="0"/>
      </w:numPr>
      <w:tabs>
        <w:tab w:val="right" w:leader="dot" w:pos="4176"/>
      </w:tabs>
    </w:pPr>
  </w:style>
  <w:style w:type="paragraph" w:styleId="ListNumber2">
    <w:name w:val="List Number 2"/>
    <w:basedOn w:val="List2"/>
    <w:rsid w:val="00A8293A"/>
    <w:pPr>
      <w:numPr>
        <w:numId w:val="10"/>
      </w:numPr>
      <w:tabs>
        <w:tab w:val="clear" w:pos="1060"/>
      </w:tabs>
    </w:pPr>
  </w:style>
  <w:style w:type="paragraph" w:customStyle="1" w:styleId="MarginNote">
    <w:name w:val="Margin Note"/>
    <w:basedOn w:val="BodyText"/>
    <w:rsid w:val="00A829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9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9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293A"/>
    <w:rPr>
      <w:sz w:val="32"/>
    </w:rPr>
  </w:style>
  <w:style w:type="paragraph" w:customStyle="1" w:styleId="HeadingProcedure">
    <w:name w:val="Heading Procedure"/>
    <w:basedOn w:val="HeadingBase"/>
    <w:next w:val="Normal"/>
    <w:rsid w:val="00A8293A"/>
    <w:pPr>
      <w:tabs>
        <w:tab w:val="left" w:pos="0"/>
      </w:tabs>
      <w:spacing w:before="120" w:after="60"/>
    </w:pPr>
    <w:rPr>
      <w:i/>
      <w:color w:val="918585"/>
      <w:sz w:val="22"/>
    </w:rPr>
  </w:style>
  <w:style w:type="paragraph" w:customStyle="1" w:styleId="TableBodyText">
    <w:name w:val="Table Body Text"/>
    <w:basedOn w:val="BodyText"/>
    <w:rsid w:val="00A8293A"/>
    <w:pPr>
      <w:spacing w:before="60" w:after="60"/>
    </w:pPr>
  </w:style>
  <w:style w:type="paragraph" w:styleId="ListContinue">
    <w:name w:val="List Continue"/>
    <w:basedOn w:val="List"/>
    <w:rsid w:val="00A8293A"/>
    <w:pPr>
      <w:ind w:firstLine="0"/>
    </w:pPr>
  </w:style>
  <w:style w:type="paragraph" w:customStyle="1" w:styleId="ListNote">
    <w:name w:val="List Note"/>
    <w:basedOn w:val="List"/>
    <w:rsid w:val="00A8293A"/>
    <w:pPr>
      <w:pBdr>
        <w:top w:val="single" w:sz="6" w:space="2" w:color="918585"/>
        <w:bottom w:val="single" w:sz="6" w:space="2" w:color="918585"/>
      </w:pBdr>
      <w:tabs>
        <w:tab w:val="left" w:pos="1021"/>
      </w:tabs>
      <w:ind w:firstLine="0"/>
    </w:pPr>
  </w:style>
  <w:style w:type="paragraph" w:customStyle="1" w:styleId="Warning">
    <w:name w:val="Warning"/>
    <w:basedOn w:val="BodyText"/>
    <w:rsid w:val="00A8293A"/>
    <w:pPr>
      <w:shd w:val="clear" w:color="auto" w:fill="D9D9D9"/>
      <w:tabs>
        <w:tab w:val="left" w:pos="992"/>
      </w:tabs>
      <w:ind w:left="119" w:right="119"/>
    </w:pPr>
    <w:rPr>
      <w:sz w:val="20"/>
    </w:rPr>
  </w:style>
  <w:style w:type="paragraph" w:customStyle="1" w:styleId="MarginIcons">
    <w:name w:val="Margin Icons"/>
    <w:basedOn w:val="BodyText"/>
    <w:rsid w:val="00A829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93A"/>
    <w:rPr>
      <w:rFonts w:ascii="Courier New" w:hAnsi="Courier New"/>
    </w:rPr>
  </w:style>
  <w:style w:type="paragraph" w:customStyle="1" w:styleId="NoteBullet">
    <w:name w:val="Note Bullet"/>
    <w:basedOn w:val="Note"/>
    <w:rsid w:val="00A8293A"/>
    <w:pPr>
      <w:tabs>
        <w:tab w:val="clear" w:pos="680"/>
      </w:tabs>
      <w:spacing w:before="60" w:after="60"/>
    </w:pPr>
  </w:style>
  <w:style w:type="paragraph" w:customStyle="1" w:styleId="SubHeading2">
    <w:name w:val="SubHeading2"/>
    <w:basedOn w:val="HeadingBase"/>
    <w:rsid w:val="00A8293A"/>
    <w:pPr>
      <w:spacing w:before="240" w:after="60"/>
    </w:pPr>
    <w:rPr>
      <w:sz w:val="20"/>
    </w:rPr>
  </w:style>
  <w:style w:type="paragraph" w:customStyle="1" w:styleId="SubHeading1">
    <w:name w:val="SubHeading1"/>
    <w:basedOn w:val="HeadingBase"/>
    <w:rsid w:val="00A8293A"/>
    <w:pPr>
      <w:spacing w:before="240" w:after="60"/>
    </w:pPr>
    <w:rPr>
      <w:color w:val="918585"/>
      <w:sz w:val="22"/>
    </w:rPr>
  </w:style>
  <w:style w:type="paragraph" w:customStyle="1" w:styleId="SideHeading">
    <w:name w:val="Side Heading"/>
    <w:basedOn w:val="HeadingBase"/>
    <w:rsid w:val="00A829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93A"/>
    <w:pPr>
      <w:numPr>
        <w:numId w:val="12"/>
      </w:numPr>
    </w:pPr>
  </w:style>
  <w:style w:type="paragraph" w:styleId="PlainText">
    <w:name w:val="Plain Text"/>
    <w:basedOn w:val="Normal"/>
    <w:link w:val="PlainTextChar"/>
    <w:rsid w:val="00A8293A"/>
    <w:rPr>
      <w:sz w:val="20"/>
    </w:rPr>
  </w:style>
  <w:style w:type="character" w:customStyle="1" w:styleId="PlainTextChar">
    <w:name w:val="Plain Text Char"/>
    <w:basedOn w:val="DefaultParagraphFont"/>
    <w:link w:val="PlainText"/>
    <w:rsid w:val="00A829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293A"/>
    <w:rPr>
      <w:b/>
      <w:smallCaps/>
    </w:rPr>
  </w:style>
  <w:style w:type="paragraph" w:customStyle="1" w:styleId="TableListNumber">
    <w:name w:val="Table List Number"/>
    <w:basedOn w:val="ListNumber"/>
    <w:rsid w:val="00A8293A"/>
    <w:pPr>
      <w:numPr>
        <w:numId w:val="0"/>
      </w:numPr>
    </w:pPr>
  </w:style>
  <w:style w:type="paragraph" w:styleId="TOC4">
    <w:name w:val="toc 4"/>
    <w:basedOn w:val="TOCBase"/>
    <w:next w:val="Normal"/>
    <w:semiHidden/>
    <w:rsid w:val="00A8293A"/>
    <w:pPr>
      <w:tabs>
        <w:tab w:val="right" w:leader="dot" w:pos="9071"/>
      </w:tabs>
      <w:ind w:left="1701"/>
    </w:pPr>
  </w:style>
  <w:style w:type="paragraph" w:customStyle="1" w:styleId="ListAlpha">
    <w:name w:val="List Alpha"/>
    <w:basedOn w:val="List"/>
    <w:rsid w:val="00A8293A"/>
    <w:pPr>
      <w:numPr>
        <w:numId w:val="9"/>
      </w:numPr>
    </w:pPr>
  </w:style>
  <w:style w:type="paragraph" w:customStyle="1" w:styleId="ListAlpha2">
    <w:name w:val="List Alpha 2"/>
    <w:basedOn w:val="List2"/>
    <w:rsid w:val="00A8293A"/>
    <w:pPr>
      <w:numPr>
        <w:numId w:val="8"/>
      </w:numPr>
    </w:pPr>
  </w:style>
  <w:style w:type="paragraph" w:styleId="List3">
    <w:name w:val="List 3"/>
    <w:basedOn w:val="BodyText"/>
    <w:rsid w:val="00A8293A"/>
    <w:pPr>
      <w:tabs>
        <w:tab w:val="left" w:pos="1021"/>
      </w:tabs>
      <w:spacing w:before="60" w:after="60"/>
      <w:ind w:left="1020" w:hanging="340"/>
    </w:pPr>
  </w:style>
  <w:style w:type="paragraph" w:styleId="List4">
    <w:name w:val="List 4"/>
    <w:basedOn w:val="BodyText"/>
    <w:rsid w:val="00A8293A"/>
    <w:pPr>
      <w:tabs>
        <w:tab w:val="left" w:pos="1361"/>
      </w:tabs>
      <w:spacing w:before="60" w:after="60"/>
      <w:ind w:left="1361" w:hanging="340"/>
    </w:pPr>
  </w:style>
  <w:style w:type="paragraph" w:styleId="List5">
    <w:name w:val="List 5"/>
    <w:basedOn w:val="BodyText"/>
    <w:rsid w:val="00A8293A"/>
    <w:pPr>
      <w:tabs>
        <w:tab w:val="left" w:pos="1701"/>
      </w:tabs>
      <w:spacing w:before="60" w:after="60"/>
      <w:ind w:left="1701" w:hanging="340"/>
    </w:pPr>
  </w:style>
  <w:style w:type="paragraph" w:styleId="ListBullet3">
    <w:name w:val="List Bullet 3"/>
    <w:basedOn w:val="List3"/>
    <w:rsid w:val="00A8293A"/>
    <w:pPr>
      <w:numPr>
        <w:numId w:val="15"/>
      </w:numPr>
      <w:tabs>
        <w:tab w:val="clear" w:pos="1021"/>
      </w:tabs>
      <w:ind w:left="1037" w:hanging="357"/>
    </w:pPr>
  </w:style>
  <w:style w:type="paragraph" w:styleId="ListBullet4">
    <w:name w:val="List Bullet 4"/>
    <w:basedOn w:val="List4"/>
    <w:rsid w:val="00A8293A"/>
    <w:pPr>
      <w:numPr>
        <w:numId w:val="3"/>
      </w:numPr>
    </w:pPr>
  </w:style>
  <w:style w:type="paragraph" w:styleId="ListBullet5">
    <w:name w:val="List Bullet 5"/>
    <w:basedOn w:val="List5"/>
    <w:rsid w:val="00A8293A"/>
    <w:pPr>
      <w:numPr>
        <w:numId w:val="4"/>
      </w:numPr>
    </w:pPr>
  </w:style>
  <w:style w:type="paragraph" w:styleId="ListContinue2">
    <w:name w:val="List Continue 2"/>
    <w:basedOn w:val="List2"/>
    <w:rsid w:val="00A8293A"/>
    <w:pPr>
      <w:ind w:firstLine="0"/>
    </w:pPr>
  </w:style>
  <w:style w:type="paragraph" w:styleId="ListContinue3">
    <w:name w:val="List Continue 3"/>
    <w:basedOn w:val="List3"/>
    <w:rsid w:val="00A8293A"/>
    <w:pPr>
      <w:ind w:left="1021" w:firstLine="0"/>
    </w:pPr>
  </w:style>
  <w:style w:type="paragraph" w:styleId="ListContinue4">
    <w:name w:val="List Continue 4"/>
    <w:basedOn w:val="List4"/>
    <w:rsid w:val="00A8293A"/>
    <w:pPr>
      <w:ind w:firstLine="0"/>
    </w:pPr>
  </w:style>
  <w:style w:type="paragraph" w:styleId="ListContinue5">
    <w:name w:val="List Continue 5"/>
    <w:basedOn w:val="List5"/>
    <w:rsid w:val="00A8293A"/>
    <w:pPr>
      <w:ind w:firstLine="0"/>
    </w:pPr>
  </w:style>
  <w:style w:type="paragraph" w:styleId="ListNumber3">
    <w:name w:val="List Number 3"/>
    <w:basedOn w:val="List3"/>
    <w:rsid w:val="00A8293A"/>
    <w:pPr>
      <w:numPr>
        <w:numId w:val="5"/>
      </w:numPr>
    </w:pPr>
  </w:style>
  <w:style w:type="paragraph" w:styleId="ListNumber4">
    <w:name w:val="List Number 4"/>
    <w:basedOn w:val="List4"/>
    <w:rsid w:val="00A8293A"/>
    <w:pPr>
      <w:numPr>
        <w:numId w:val="6"/>
      </w:numPr>
    </w:pPr>
  </w:style>
  <w:style w:type="paragraph" w:styleId="ListNumber5">
    <w:name w:val="List Number 5"/>
    <w:basedOn w:val="List5"/>
    <w:rsid w:val="00A8293A"/>
    <w:pPr>
      <w:numPr>
        <w:numId w:val="7"/>
      </w:numPr>
    </w:pPr>
  </w:style>
  <w:style w:type="paragraph" w:styleId="BlockText">
    <w:name w:val="Block Text"/>
    <w:basedOn w:val="Normal"/>
    <w:rsid w:val="00A8293A"/>
    <w:pPr>
      <w:spacing w:after="120"/>
      <w:ind w:left="1440" w:right="1440"/>
    </w:pPr>
  </w:style>
  <w:style w:type="character" w:customStyle="1" w:styleId="Subscript">
    <w:name w:val="Subscript"/>
    <w:basedOn w:val="DefaultParagraphFont"/>
    <w:rsid w:val="00A8293A"/>
    <w:rPr>
      <w:sz w:val="16"/>
      <w:vertAlign w:val="subscript"/>
    </w:rPr>
  </w:style>
  <w:style w:type="character" w:customStyle="1" w:styleId="Superscript">
    <w:name w:val="Superscript"/>
    <w:basedOn w:val="DefaultParagraphFont"/>
    <w:rsid w:val="00A8293A"/>
    <w:rPr>
      <w:sz w:val="16"/>
      <w:vertAlign w:val="superscript"/>
    </w:rPr>
  </w:style>
  <w:style w:type="character" w:customStyle="1" w:styleId="Symbols">
    <w:name w:val="Symbols"/>
    <w:basedOn w:val="DefaultParagraphFont"/>
    <w:rsid w:val="00A8293A"/>
    <w:rPr>
      <w:rFonts w:ascii="Symbol" w:hAnsi="Symbol"/>
    </w:rPr>
  </w:style>
  <w:style w:type="character" w:customStyle="1" w:styleId="MenuOptions">
    <w:name w:val="Menu Options"/>
    <w:basedOn w:val="DefaultParagraphFont"/>
    <w:rsid w:val="00A8293A"/>
    <w:rPr>
      <w:rFonts w:ascii="Arial Narrow" w:hAnsi="Arial Narrow"/>
      <w:smallCaps/>
    </w:rPr>
  </w:style>
  <w:style w:type="character" w:customStyle="1" w:styleId="Buttons">
    <w:name w:val="Buttons"/>
    <w:basedOn w:val="DefaultParagraphFont"/>
    <w:rsid w:val="00A8293A"/>
    <w:rPr>
      <w:b/>
    </w:rPr>
  </w:style>
  <w:style w:type="character" w:customStyle="1" w:styleId="Underlined">
    <w:name w:val="Underlined"/>
    <w:basedOn w:val="DefaultParagraphFont"/>
    <w:rsid w:val="00A8293A"/>
    <w:rPr>
      <w:u w:val="single"/>
    </w:rPr>
  </w:style>
  <w:style w:type="paragraph" w:customStyle="1" w:styleId="TableBodyTextRight">
    <w:name w:val="Table Body Text Right"/>
    <w:basedOn w:val="TableBodyText"/>
    <w:rsid w:val="00A8293A"/>
    <w:pPr>
      <w:widowControl w:val="0"/>
      <w:autoSpaceDE w:val="0"/>
      <w:autoSpaceDN w:val="0"/>
      <w:adjustRightInd w:val="0"/>
      <w:jc w:val="right"/>
    </w:pPr>
    <w:rPr>
      <w:rFonts w:cs="Arial"/>
      <w:szCs w:val="18"/>
    </w:rPr>
  </w:style>
  <w:style w:type="paragraph" w:customStyle="1" w:styleId="CopyrightText">
    <w:name w:val="Copyright Text"/>
    <w:basedOn w:val="BodyText"/>
    <w:rsid w:val="00A8293A"/>
    <w:rPr>
      <w:sz w:val="18"/>
    </w:rPr>
  </w:style>
  <w:style w:type="paragraph" w:customStyle="1" w:styleId="BodySmallRight">
    <w:name w:val="Body Small Right"/>
    <w:basedOn w:val="BodyTextRight"/>
    <w:rsid w:val="00A8293A"/>
    <w:rPr>
      <w:sz w:val="18"/>
      <w:szCs w:val="18"/>
    </w:rPr>
  </w:style>
  <w:style w:type="paragraph" w:customStyle="1" w:styleId="MarginEdition">
    <w:name w:val="Margin Edition"/>
    <w:basedOn w:val="MarginNote"/>
    <w:rsid w:val="00A8293A"/>
    <w:pPr>
      <w:spacing w:before="0" w:after="0"/>
    </w:pPr>
    <w:rPr>
      <w:rFonts w:ascii="Times New Roman" w:hAnsi="Times New Roman"/>
      <w:color w:val="999999"/>
    </w:rPr>
  </w:style>
  <w:style w:type="paragraph" w:customStyle="1" w:styleId="Spacer">
    <w:name w:val="Spacer"/>
    <w:basedOn w:val="Normal"/>
    <w:rsid w:val="00A8293A"/>
    <w:rPr>
      <w:sz w:val="2"/>
      <w:szCs w:val="2"/>
    </w:rPr>
  </w:style>
  <w:style w:type="character" w:customStyle="1" w:styleId="Small">
    <w:name w:val="Small"/>
    <w:basedOn w:val="DefaultParagraphFont"/>
    <w:rsid w:val="00A8293A"/>
    <w:rPr>
      <w:sz w:val="16"/>
    </w:rPr>
  </w:style>
  <w:style w:type="paragraph" w:customStyle="1" w:styleId="WideTable">
    <w:name w:val="Wide Table"/>
    <w:basedOn w:val="Normal"/>
    <w:rsid w:val="00A8293A"/>
    <w:pPr>
      <w:ind w:left="-1418"/>
    </w:pPr>
    <w:rPr>
      <w:sz w:val="2"/>
      <w:szCs w:val="2"/>
    </w:rPr>
  </w:style>
  <w:style w:type="character" w:styleId="PageNumber">
    <w:name w:val="page number"/>
    <w:basedOn w:val="DefaultParagraphFont"/>
    <w:rsid w:val="00A8293A"/>
  </w:style>
  <w:style w:type="paragraph" w:styleId="Quote">
    <w:name w:val="Quote"/>
    <w:basedOn w:val="Heading1"/>
    <w:link w:val="QuoteChar"/>
    <w:qFormat/>
    <w:rsid w:val="00A8293A"/>
    <w:rPr>
      <w:b w:val="0"/>
      <w:sz w:val="72"/>
      <w:szCs w:val="72"/>
      <w:lang w:val="en-NZ"/>
    </w:rPr>
  </w:style>
  <w:style w:type="character" w:customStyle="1" w:styleId="QuoteChar">
    <w:name w:val="Quote Char"/>
    <w:basedOn w:val="DefaultParagraphFont"/>
    <w:link w:val="Quote"/>
    <w:rsid w:val="00A829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93A"/>
    <w:pPr>
      <w:pageBreakBefore/>
    </w:pPr>
  </w:style>
  <w:style w:type="paragraph" w:customStyle="1" w:styleId="Border">
    <w:name w:val="Border"/>
    <w:basedOn w:val="Normal"/>
    <w:qFormat/>
    <w:rsid w:val="00A829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93A"/>
    <w:rPr>
      <w:b/>
      <w:bCs/>
      <w:i/>
      <w:iCs/>
      <w:color w:val="auto"/>
    </w:rPr>
  </w:style>
  <w:style w:type="paragraph" w:styleId="IntenseQuote">
    <w:name w:val="Intense Quote"/>
    <w:basedOn w:val="Normal"/>
    <w:next w:val="Normal"/>
    <w:link w:val="IntenseQuoteChar"/>
    <w:uiPriority w:val="30"/>
    <w:qFormat/>
    <w:rsid w:val="00A829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9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293A"/>
    <w:rPr>
      <w:smallCaps/>
      <w:color w:val="auto"/>
      <w:u w:val="single"/>
    </w:rPr>
  </w:style>
  <w:style w:type="character" w:styleId="IntenseReference">
    <w:name w:val="Intense Reference"/>
    <w:basedOn w:val="DefaultParagraphFont"/>
    <w:uiPriority w:val="32"/>
    <w:qFormat/>
    <w:rsid w:val="00A8293A"/>
    <w:rPr>
      <w:b/>
      <w:bCs/>
      <w:smallCaps/>
      <w:color w:val="auto"/>
      <w:spacing w:val="5"/>
      <w:u w:val="single"/>
    </w:rPr>
  </w:style>
  <w:style w:type="paragraph" w:customStyle="1" w:styleId="2ColumnHeading">
    <w:name w:val="2Column Heading"/>
    <w:basedOn w:val="BodyText"/>
    <w:qFormat/>
    <w:rsid w:val="00A8293A"/>
    <w:pPr>
      <w:spacing w:after="60"/>
      <w:ind w:left="-2268"/>
    </w:pPr>
    <w:rPr>
      <w:b/>
    </w:rPr>
  </w:style>
  <w:style w:type="paragraph" w:customStyle="1" w:styleId="Heading1TOC">
    <w:name w:val="Heading1 TOC"/>
    <w:basedOn w:val="Normal"/>
    <w:qFormat/>
    <w:rsid w:val="00A8293A"/>
    <w:pPr>
      <w:spacing w:before="240" w:after="120"/>
    </w:pPr>
    <w:rPr>
      <w:rFonts w:ascii="Times New Roman" w:hAnsi="Times New Roman"/>
      <w:b/>
      <w:sz w:val="32"/>
    </w:rPr>
  </w:style>
  <w:style w:type="paragraph" w:customStyle="1" w:styleId="Heading2TOC">
    <w:name w:val="Heading2 TOC"/>
    <w:basedOn w:val="Normal"/>
    <w:qFormat/>
    <w:rsid w:val="00A8293A"/>
    <w:pPr>
      <w:spacing w:before="240" w:after="60"/>
    </w:pPr>
    <w:rPr>
      <w:rFonts w:ascii="Times New Roman" w:hAnsi="Times New Roman"/>
      <w:b/>
      <w:sz w:val="28"/>
    </w:rPr>
  </w:style>
  <w:style w:type="paragraph" w:styleId="BalloonText">
    <w:name w:val="Balloon Text"/>
    <w:basedOn w:val="Normal"/>
    <w:link w:val="BalloonTextChar"/>
    <w:rsid w:val="00A8293A"/>
    <w:rPr>
      <w:rFonts w:ascii="Tahoma" w:hAnsi="Tahoma" w:cs="Tahoma"/>
      <w:sz w:val="16"/>
      <w:szCs w:val="16"/>
    </w:rPr>
  </w:style>
  <w:style w:type="character" w:customStyle="1" w:styleId="BalloonTextChar">
    <w:name w:val="Balloon Text Char"/>
    <w:basedOn w:val="DefaultParagraphFont"/>
    <w:link w:val="BalloonText"/>
    <w:rsid w:val="00A829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29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29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1393</Words>
  <Characters>8817</Characters>
  <Application>Microsoft Office Word</Application>
  <DocSecurity>0</DocSecurity>
  <Lines>325</Lines>
  <Paragraphs>167</Paragraphs>
  <ScaleCrop>false</ScaleCrop>
  <Company>Author-it Software Corporation Ltd.</Company>
  <LinksUpToDate>false</LinksUpToDate>
  <CharactersWithSpaces>10124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MTMP3071C Perform ante-mortem inspection and make disposition</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2012-05-27T02:47:00Z</dcterms:created>
  <dcterms:modified xsi:type="dcterms:W3CDTF">2012-05-27T02:47:00Z</dcterms:modified>
</cp:coreProperties>
</file>