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4E89" w:rsidP="00C04E89">
      <w:pPr>
        <w:pStyle w:val="Title"/>
      </w:pPr>
      <w:bookmarkStart w:id="0" w:name="_GoBack"/>
      <w:bookmarkEnd w:id="0"/>
      <w:r>
        <w:fldChar w:fldCharType="begin"/>
      </w:r>
      <w:r>
        <w:instrText xml:space="preserve"> TITLE   \* MERGEFORMAT </w:instrText>
      </w:r>
      <w:r>
        <w:fldChar w:fldCharType="separate"/>
      </w:r>
      <w:r>
        <w:t>MTMP3005A Monitor the effective operations of electrical stimulation</w:t>
      </w:r>
      <w:r>
        <w:fldChar w:fldCharType="end"/>
      </w:r>
    </w:p>
    <w:p w:rsidR="00C04E89" w:rsidP="00C04E89">
      <w:pPr>
        <w:pStyle w:val="Version"/>
        <w:sectPr w:rsidSect="005D48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482D" w:rsidP="005D482D">
      <w:pPr>
        <w:pStyle w:val="SuperHeading"/>
      </w:pPr>
      <w:r w:rsidRPr="005D482D">
        <w:t>MTMP3005A Monitor the effective operations of electrical stimulation</w:t>
      </w:r>
    </w:p>
    <w:p w:rsidR="00000000" w:rsidRPr="005D482D" w:rsidP="005D482D">
      <w:pPr>
        <w:pStyle w:val="Heading1"/>
      </w:pPr>
      <w:bookmarkStart w:id="1" w:name="O_489010"/>
      <w:bookmarkEnd w:id="1"/>
      <w:r w:rsidRPr="005D482D">
        <w:t>Modification History</w:t>
      </w:r>
    </w:p>
    <w:tbl>
      <w:tblPr>
        <w:tblW w:w="0" w:type="auto"/>
        <w:tblLayout w:type="fixed"/>
        <w:tblCellMar>
          <w:left w:w="62" w:type="dxa"/>
          <w:right w:w="62" w:type="dxa"/>
        </w:tblCellMar>
        <w:tblLook w:val="0000"/>
      </w:tblPr>
      <w:tblGrid>
        <w:gridCol w:w="1803"/>
        <w:gridCol w:w="2247"/>
        <w:gridCol w:w="5084"/>
      </w:tblGrid>
      <w:tr w:rsidTr="005D482D">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82D" w:rsidP="005D482D">
            <w:pPr>
              <w:pStyle w:val="BodyText"/>
            </w:pPr>
            <w:r w:rsidRPr="005D482D">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82D" w:rsidP="005D482D">
            <w:pPr>
              <w:pStyle w:val="BodyText"/>
            </w:pPr>
            <w:r w:rsidRPr="005D482D">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82D">
            <w:pPr>
              <w:pStyle w:val="BodyText"/>
              <w:rPr>
                <w:lang w:val="en-NZ"/>
              </w:rPr>
            </w:pPr>
            <w:r w:rsidRPr="005D482D">
              <w:rPr>
                <w:rStyle w:val="SpecialBold"/>
              </w:rPr>
              <w:t>Comments</w:t>
            </w:r>
          </w:p>
        </w:tc>
      </w:tr>
      <w:tr w:rsidTr="005D482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82D">
            <w:pPr>
              <w:pStyle w:val="BodyText"/>
              <w:rPr>
                <w:lang w:val="en-NZ"/>
              </w:rPr>
            </w:pPr>
            <w:r w:rsidRPr="005D482D">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82D">
            <w:pPr>
              <w:pStyle w:val="BodyText"/>
              <w:rPr>
                <w:lang w:val="en-NZ"/>
              </w:rPr>
            </w:pPr>
            <w:r w:rsidRPr="005D482D">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82D" w:rsidP="005D482D">
            <w:pPr>
              <w:pStyle w:val="BodyText"/>
            </w:pPr>
            <w:r w:rsidRPr="005D482D">
              <w:t>Initial release.</w:t>
            </w:r>
          </w:p>
        </w:tc>
      </w:tr>
    </w:tbl>
    <w:p w:rsidR="00000000" w:rsidRPr="005D482D" w:rsidP="005D482D">
      <w:pPr>
        <w:pStyle w:val="BodyText"/>
      </w:pPr>
    </w:p>
    <w:p w:rsidR="00000000" w:rsidRPr="005D482D" w:rsidP="005D482D">
      <w:pPr>
        <w:pStyle w:val="AllowPageBreak"/>
      </w:pPr>
    </w:p>
    <w:p w:rsidR="00000000" w:rsidRPr="005D482D" w:rsidP="005D482D">
      <w:pPr>
        <w:pStyle w:val="Heading1"/>
      </w:pPr>
      <w:bookmarkStart w:id="2" w:name="O_489011"/>
      <w:bookmarkEnd w:id="2"/>
      <w:r w:rsidRPr="005D482D">
        <w:t>Unit Descriptor</w:t>
      </w:r>
    </w:p>
    <w:p w:rsidR="00000000" w:rsidRPr="005D482D" w:rsidP="005D482D">
      <w:pPr>
        <w:pStyle w:val="BodyText"/>
      </w:pPr>
      <w:r w:rsidRPr="005D482D">
        <w:t>This Unit covers the skills and knowledge required to monitor an automated or manual electrical carcase stimulation unit to ensure that the carcases are receiving the optimal stimulation.</w:t>
      </w:r>
    </w:p>
    <w:p w:rsidR="00000000" w:rsidRPr="005D482D" w:rsidP="005D482D">
      <w:pPr>
        <w:pStyle w:val="AllowPageBreak"/>
      </w:pPr>
    </w:p>
    <w:p w:rsidR="00000000" w:rsidRPr="005D482D" w:rsidP="005D482D">
      <w:pPr>
        <w:pStyle w:val="Heading1"/>
      </w:pPr>
      <w:bookmarkStart w:id="3" w:name="O_489012"/>
      <w:bookmarkEnd w:id="3"/>
      <w:r w:rsidRPr="005D482D">
        <w:t xml:space="preserve">Application of the </w:t>
      </w:r>
      <w:r w:rsidRPr="005D482D">
        <w:t>Unit</w:t>
      </w:r>
    </w:p>
    <w:p w:rsidR="00000000" w:rsidRPr="005D482D" w:rsidP="005D482D">
      <w:pPr>
        <w:pStyle w:val="BodyText"/>
      </w:pPr>
      <w:r w:rsidRPr="005D482D">
        <w:t>This Unit is applicable to workers monitoring electrical stimulation units in slaughtering establishments.</w:t>
      </w:r>
    </w:p>
    <w:p w:rsidR="00000000" w:rsidRPr="005D482D" w:rsidP="005D482D">
      <w:pPr>
        <w:pStyle w:val="AllowPageBreak"/>
      </w:pPr>
    </w:p>
    <w:p w:rsidR="00000000" w:rsidRPr="005D482D" w:rsidP="005D482D">
      <w:pPr>
        <w:pStyle w:val="Heading1"/>
      </w:pPr>
      <w:bookmarkStart w:id="4" w:name="O_489013"/>
      <w:bookmarkEnd w:id="4"/>
      <w:r w:rsidRPr="005D482D">
        <w:t>Licensing/Regulatory Information</w:t>
      </w:r>
    </w:p>
    <w:p w:rsidR="00000000" w:rsidRPr="005D482D" w:rsidP="005D482D">
      <w:pPr>
        <w:pStyle w:val="BodyText"/>
      </w:pPr>
      <w:r w:rsidRPr="005D482D">
        <w:t>No licensing, legislative, regulatory or certification requirements apply to this Unit.</w:t>
      </w:r>
    </w:p>
    <w:p w:rsidR="00000000" w:rsidRPr="005D482D" w:rsidP="005D482D">
      <w:pPr>
        <w:pStyle w:val="AllowPageBreak"/>
      </w:pPr>
    </w:p>
    <w:p w:rsidR="00000000" w:rsidRPr="005D482D" w:rsidP="005D482D">
      <w:pPr>
        <w:pStyle w:val="Heading1"/>
      </w:pPr>
      <w:bookmarkStart w:id="5" w:name="O_489014"/>
      <w:bookmarkEnd w:id="5"/>
      <w:r w:rsidRPr="005D482D">
        <w:t>Pre-Requisites</w:t>
      </w:r>
    </w:p>
    <w:p w:rsidR="00000000" w:rsidRPr="005D482D" w:rsidP="005D482D">
      <w:pPr>
        <w:pStyle w:val="BodyText"/>
      </w:pPr>
      <w:r w:rsidRPr="005D482D">
        <w:t>Nil.</w:t>
      </w:r>
    </w:p>
    <w:p w:rsidR="00000000" w:rsidRPr="005D482D" w:rsidP="005D482D">
      <w:pPr>
        <w:pStyle w:val="AllowPageBreak"/>
      </w:pPr>
    </w:p>
    <w:p w:rsidR="00000000" w:rsidRPr="005D482D" w:rsidP="005D482D">
      <w:pPr>
        <w:pStyle w:val="Heading1"/>
      </w:pPr>
      <w:bookmarkStart w:id="6" w:name="O_489015"/>
      <w:bookmarkEnd w:id="6"/>
      <w:r w:rsidRPr="005D482D">
        <w:t>Employability Skills Information</w:t>
      </w:r>
    </w:p>
    <w:p w:rsidR="00000000" w:rsidRPr="005D482D" w:rsidP="005D482D">
      <w:pPr>
        <w:pStyle w:val="BodyText"/>
      </w:pPr>
      <w:r w:rsidRPr="005D482D">
        <w:t>This Unit contains employability skills.</w:t>
      </w:r>
    </w:p>
    <w:p w:rsidR="00000000" w:rsidRPr="005D482D" w:rsidP="005D482D">
      <w:pPr>
        <w:pStyle w:val="AllowPageBreak"/>
      </w:pPr>
    </w:p>
    <w:p w:rsidR="00000000" w:rsidRPr="005D482D" w:rsidP="005D482D">
      <w:pPr>
        <w:pStyle w:val="Heading1"/>
      </w:pPr>
      <w:bookmarkStart w:id="7" w:name="O_489016"/>
      <w:bookmarkEnd w:id="7"/>
      <w:r w:rsidRPr="005D482D">
        <w:t>Elements and Performance Criteria Pre-Content</w:t>
      </w:r>
    </w:p>
    <w:tbl>
      <w:tblPr>
        <w:tblW w:w="0" w:type="auto"/>
        <w:tblLayout w:type="fixed"/>
        <w:tblCellMar>
          <w:left w:w="62" w:type="dxa"/>
          <w:right w:w="62" w:type="dxa"/>
        </w:tblCellMar>
        <w:tblLook w:val="0000"/>
      </w:tblPr>
      <w:tblGrid>
        <w:gridCol w:w="2760"/>
        <w:gridCol w:w="6312"/>
      </w:tblGrid>
      <w:tr w:rsidTr="005D482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482D">
            <w:pPr>
              <w:pStyle w:val="BodyText"/>
              <w:rPr>
                <w:lang w:val="en-NZ"/>
              </w:rPr>
            </w:pPr>
            <w:r w:rsidRPr="005D482D">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5D482D" w:rsidP="005D482D">
            <w:pPr>
              <w:pStyle w:val="BodyText"/>
            </w:pPr>
            <w:r w:rsidRPr="005D482D">
              <w:t>Perfo</w:t>
            </w:r>
            <w:r w:rsidRPr="005D482D">
              <w:t>rmance criteria describe the performance needed to demonstrate achievement of the element. Where bold italicised text is used, further information is detailed in the required skills and knowledge section and the range statement. Assessment of performance i</w:t>
            </w:r>
            <w:r w:rsidRPr="005D482D">
              <w:t>s to be consistent with the evidence guide.</w:t>
            </w:r>
          </w:p>
        </w:tc>
      </w:tr>
    </w:tbl>
    <w:p w:rsidR="00000000" w:rsidRPr="005D482D" w:rsidP="005D482D">
      <w:pPr>
        <w:pStyle w:val="BodyText"/>
      </w:pPr>
    </w:p>
    <w:p w:rsidR="00000000" w:rsidRPr="005D482D" w:rsidP="005D482D">
      <w:pPr>
        <w:pStyle w:val="AllowPageBreak"/>
      </w:pPr>
    </w:p>
    <w:p w:rsidR="00000000" w:rsidRPr="005D482D" w:rsidP="005D482D">
      <w:pPr>
        <w:pStyle w:val="Heading1"/>
      </w:pPr>
      <w:bookmarkStart w:id="8" w:name="O_489017"/>
      <w:bookmarkEnd w:id="8"/>
      <w:r w:rsidRPr="005D482D">
        <w:t>Elements and Performance Criteria</w:t>
      </w:r>
    </w:p>
    <w:tbl>
      <w:tblPr>
        <w:tblW w:w="0" w:type="auto"/>
        <w:tblLayout w:type="fixed"/>
        <w:tblCellMar>
          <w:left w:w="62" w:type="dxa"/>
          <w:right w:w="62" w:type="dxa"/>
        </w:tblCellMar>
        <w:tblLook w:val="0000"/>
      </w:tblPr>
      <w:tblGrid>
        <w:gridCol w:w="2760"/>
        <w:gridCol w:w="6312"/>
      </w:tblGrid>
      <w:tr w:rsidTr="005D482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482D">
            <w:pPr>
              <w:pStyle w:val="TableHeading"/>
              <w:rPr>
                <w:lang w:val="en-NZ"/>
              </w:rPr>
            </w:pPr>
            <w:r w:rsidRPr="005D482D">
              <w:t>ELEMENT</w:t>
            </w:r>
          </w:p>
        </w:tc>
        <w:tc>
          <w:tcPr>
            <w:tcW w:w="6312" w:type="dxa"/>
            <w:tcBorders>
              <w:top w:val="nil"/>
              <w:left w:val="nil"/>
              <w:bottom w:val="nil"/>
              <w:right w:val="nil"/>
            </w:tcBorders>
            <w:tcMar>
              <w:top w:w="0" w:type="dxa"/>
              <w:left w:w="62" w:type="dxa"/>
              <w:bottom w:w="0" w:type="dxa"/>
              <w:right w:w="62" w:type="dxa"/>
            </w:tcMar>
          </w:tcPr>
          <w:p w:rsidR="00000000" w:rsidP="005D482D">
            <w:pPr>
              <w:pStyle w:val="TableHeading"/>
              <w:rPr>
                <w:lang w:val="en-NZ"/>
              </w:rPr>
            </w:pPr>
            <w:r w:rsidRPr="005D482D">
              <w:t>PERFORMANCE CRITERIA</w:t>
            </w:r>
          </w:p>
        </w:tc>
      </w:tr>
      <w:tr w:rsidTr="005D482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482D">
            <w:pPr>
              <w:pStyle w:val="List"/>
              <w:rPr>
                <w:lang w:val="en-NZ"/>
              </w:rPr>
            </w:pPr>
            <w:r w:rsidRPr="005D482D">
              <w:t>1.</w:t>
            </w:r>
            <w:r w:rsidRPr="005D482D">
              <w:tab/>
              <w:t>Monitor electrical stimulation unit</w:t>
            </w:r>
          </w:p>
        </w:tc>
        <w:tc>
          <w:tcPr>
            <w:tcW w:w="6312" w:type="dxa"/>
            <w:tcBorders>
              <w:top w:val="nil"/>
              <w:left w:val="nil"/>
              <w:bottom w:val="nil"/>
              <w:right w:val="nil"/>
            </w:tcBorders>
            <w:tcMar>
              <w:top w:w="0" w:type="dxa"/>
              <w:left w:w="62" w:type="dxa"/>
              <w:bottom w:w="0" w:type="dxa"/>
              <w:right w:w="62" w:type="dxa"/>
            </w:tcMar>
          </w:tcPr>
          <w:p w:rsidR="00000000" w:rsidRPr="005D482D" w:rsidP="005D482D">
            <w:pPr>
              <w:pStyle w:val="List"/>
            </w:pPr>
            <w:r w:rsidRPr="005D482D">
              <w:t>1.1</w:t>
            </w:r>
            <w:r w:rsidRPr="005D482D">
              <w:tab/>
              <w:t xml:space="preserve">Monitor the </w:t>
            </w:r>
            <w:r w:rsidRPr="005D482D">
              <w:rPr>
                <w:rStyle w:val="BoldandItalics"/>
              </w:rPr>
              <w:t xml:space="preserve">electrical stimulation unit </w:t>
            </w:r>
            <w:r w:rsidRPr="005D482D">
              <w:t xml:space="preserve">using </w:t>
            </w:r>
            <w:r w:rsidRPr="005D482D">
              <w:t>the correct procedure to check electrical stimulation equipment operation.</w:t>
            </w:r>
          </w:p>
          <w:p w:rsidR="00000000" w:rsidRPr="005D482D" w:rsidP="005D482D">
            <w:pPr>
              <w:pStyle w:val="List"/>
            </w:pPr>
            <w:r w:rsidRPr="005D482D">
              <w:t>1.2</w:t>
            </w:r>
            <w:r w:rsidRPr="005D482D">
              <w:tab/>
              <w:t xml:space="preserve">Use dummy load across each of the </w:t>
            </w:r>
            <w:r w:rsidRPr="005D482D">
              <w:rPr>
                <w:rStyle w:val="BoldandItalics"/>
              </w:rPr>
              <w:t xml:space="preserve">electrical inputs </w:t>
            </w:r>
            <w:r w:rsidRPr="005D482D">
              <w:t>to check operation in accordance with work instructions and manufacturers specifications.</w:t>
            </w:r>
          </w:p>
          <w:p w:rsidR="00000000" w:rsidRPr="005D482D" w:rsidP="005D482D">
            <w:pPr>
              <w:pStyle w:val="List"/>
            </w:pPr>
            <w:r w:rsidRPr="005D482D">
              <w:t>1.3</w:t>
            </w:r>
            <w:r w:rsidRPr="005D482D">
              <w:tab/>
              <w:t>Observe for and describe the no</w:t>
            </w:r>
            <w:r w:rsidRPr="005D482D">
              <w:t>rmal reaction of carcases to electrical stimulation.</w:t>
            </w:r>
          </w:p>
          <w:p w:rsidR="00000000" w:rsidRPr="005D482D" w:rsidP="005D482D">
            <w:pPr>
              <w:pStyle w:val="List"/>
            </w:pPr>
            <w:r w:rsidRPr="005D482D">
              <w:t>1.4</w:t>
            </w:r>
            <w:r w:rsidRPr="005D482D">
              <w:tab/>
              <w:t xml:space="preserve">Observe for and respond to any </w:t>
            </w:r>
            <w:r w:rsidRPr="005D482D">
              <w:rPr>
                <w:rStyle w:val="BoldandItalics"/>
              </w:rPr>
              <w:t xml:space="preserve">abnormal reaction </w:t>
            </w:r>
            <w:r w:rsidRPr="005D482D">
              <w:t>of carcases to electrical stimulation.</w:t>
            </w:r>
          </w:p>
          <w:p w:rsidR="00000000" w:rsidRPr="005D482D" w:rsidP="005D482D">
            <w:pPr>
              <w:pStyle w:val="List"/>
            </w:pPr>
            <w:r w:rsidRPr="005D482D">
              <w:t>1.5</w:t>
            </w:r>
            <w:r w:rsidRPr="005D482D">
              <w:tab/>
              <w:t>Follow up on requests for maintenance and check operation is normal.</w:t>
            </w:r>
          </w:p>
          <w:p w:rsidR="00000000" w:rsidP="005D482D">
            <w:pPr>
              <w:pStyle w:val="List"/>
              <w:rPr>
                <w:lang w:val="en-NZ"/>
              </w:rPr>
            </w:pPr>
            <w:r w:rsidRPr="005D482D">
              <w:t>1.6</w:t>
            </w:r>
            <w:r w:rsidRPr="005D482D">
              <w:tab/>
              <w:t>Follow workplace health and safety</w:t>
            </w:r>
            <w:r w:rsidRPr="005D482D">
              <w:t xml:space="preserve"> requirements for working around </w:t>
            </w:r>
            <w:r w:rsidRPr="005D482D">
              <w:rPr>
                <w:rStyle w:val="BoldandItalics"/>
              </w:rPr>
              <w:t>electrical stimulation units.</w:t>
            </w:r>
          </w:p>
        </w:tc>
      </w:tr>
      <w:tr w:rsidTr="005D482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482D">
            <w:pPr>
              <w:pStyle w:val="List"/>
              <w:rPr>
                <w:lang w:val="en-NZ"/>
              </w:rPr>
            </w:pPr>
            <w:r w:rsidRPr="005D482D">
              <w:t>2.</w:t>
            </w:r>
            <w:r w:rsidRPr="005D482D">
              <w:tab/>
              <w:t>Ensure routine checks of equipment by technicians are performed</w:t>
            </w:r>
          </w:p>
        </w:tc>
        <w:tc>
          <w:tcPr>
            <w:tcW w:w="6312" w:type="dxa"/>
            <w:tcBorders>
              <w:top w:val="nil"/>
              <w:left w:val="nil"/>
              <w:bottom w:val="nil"/>
              <w:right w:val="nil"/>
            </w:tcBorders>
            <w:tcMar>
              <w:top w:w="0" w:type="dxa"/>
              <w:left w:w="62" w:type="dxa"/>
              <w:bottom w:w="0" w:type="dxa"/>
              <w:right w:w="62" w:type="dxa"/>
            </w:tcMar>
          </w:tcPr>
          <w:p w:rsidR="00000000" w:rsidRPr="005D482D" w:rsidP="005D482D">
            <w:pPr>
              <w:pStyle w:val="List"/>
            </w:pPr>
            <w:r w:rsidRPr="005D482D">
              <w:t>2.1</w:t>
            </w:r>
            <w:r w:rsidRPr="005D482D">
              <w:tab/>
              <w:t>Routine checks arranged or overseen to ensure a full check of the equipment is made including: electrical parameters, sto</w:t>
            </w:r>
            <w:r w:rsidRPr="005D482D">
              <w:t>red programs, electrical safety, electrodes and equipment integration.</w:t>
            </w:r>
          </w:p>
          <w:p w:rsidR="00000000" w:rsidP="005D482D">
            <w:pPr>
              <w:pStyle w:val="List"/>
              <w:rPr>
                <w:lang w:val="en-NZ"/>
              </w:rPr>
            </w:pPr>
            <w:r w:rsidRPr="005D482D">
              <w:t>2.2</w:t>
            </w:r>
            <w:r w:rsidRPr="005D482D">
              <w:tab/>
              <w:t>Maintenance and equipment reports detailing the findings and recommendations are reviewed and corrective actions implemented.</w:t>
            </w:r>
          </w:p>
        </w:tc>
      </w:tr>
      <w:tr w:rsidTr="005D482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482D">
            <w:pPr>
              <w:pStyle w:val="List"/>
              <w:rPr>
                <w:lang w:val="en-NZ"/>
              </w:rPr>
            </w:pPr>
            <w:r w:rsidRPr="005D482D">
              <w:t>3.</w:t>
            </w:r>
            <w:r w:rsidRPr="005D482D">
              <w:tab/>
            </w:r>
            <w:r w:rsidRPr="005D482D">
              <w:t>Respond to audits of carcase specification compliance</w:t>
            </w:r>
          </w:p>
        </w:tc>
        <w:tc>
          <w:tcPr>
            <w:tcW w:w="6312" w:type="dxa"/>
            <w:tcBorders>
              <w:top w:val="nil"/>
              <w:left w:val="nil"/>
              <w:bottom w:val="nil"/>
              <w:right w:val="nil"/>
            </w:tcBorders>
            <w:tcMar>
              <w:top w:w="0" w:type="dxa"/>
              <w:left w:w="62" w:type="dxa"/>
              <w:bottom w:w="0" w:type="dxa"/>
              <w:right w:w="62" w:type="dxa"/>
            </w:tcMar>
          </w:tcPr>
          <w:p w:rsidR="00000000" w:rsidRPr="005D482D" w:rsidP="005D482D">
            <w:pPr>
              <w:pStyle w:val="List"/>
            </w:pPr>
            <w:r w:rsidRPr="005D482D">
              <w:t>3.1</w:t>
            </w:r>
            <w:r w:rsidRPr="005D482D">
              <w:tab/>
              <w:t>Describe the pH/temperature window and its importance to meat quality.</w:t>
            </w:r>
          </w:p>
          <w:p w:rsidR="00000000" w:rsidRPr="005D482D" w:rsidP="005D482D">
            <w:pPr>
              <w:pStyle w:val="List"/>
            </w:pPr>
            <w:r w:rsidRPr="005D482D">
              <w:t>3.2</w:t>
            </w:r>
            <w:r w:rsidRPr="005D482D">
              <w:tab/>
              <w:t>Describe the audit process for electrical stimulation unit performance and the various potential findings.</w:t>
            </w:r>
          </w:p>
          <w:p w:rsidR="00000000" w:rsidRPr="005D482D" w:rsidP="005D482D">
            <w:pPr>
              <w:pStyle w:val="List"/>
            </w:pPr>
            <w:r w:rsidRPr="005D482D">
              <w:t>3.3</w:t>
            </w:r>
            <w:r w:rsidRPr="005D482D">
              <w:tab/>
              <w:t>Respond to a</w:t>
            </w:r>
            <w:r w:rsidRPr="005D482D">
              <w:t>dverse audit findings including recommendations to alter stimulation inputs, alter stimulation time and adjust chilling regime.</w:t>
            </w:r>
          </w:p>
        </w:tc>
      </w:tr>
    </w:tbl>
    <w:p w:rsidR="00000000" w:rsidRPr="005D482D" w:rsidP="005D482D">
      <w:pPr>
        <w:pStyle w:val="BodyText"/>
      </w:pPr>
    </w:p>
    <w:p w:rsidR="00000000" w:rsidRPr="005D482D" w:rsidP="005D482D">
      <w:pPr>
        <w:pStyle w:val="AllowPageBreak"/>
      </w:pPr>
    </w:p>
    <w:p w:rsidR="00000000" w:rsidRPr="005D482D" w:rsidP="005D482D">
      <w:pPr>
        <w:pStyle w:val="Heading1"/>
      </w:pPr>
      <w:bookmarkStart w:id="9" w:name="O_489018"/>
      <w:bookmarkEnd w:id="9"/>
      <w:r w:rsidRPr="005D482D">
        <w:t>Required Skills and Knowledge</w:t>
      </w:r>
    </w:p>
    <w:tbl>
      <w:tblPr>
        <w:tblW w:w="0" w:type="auto"/>
        <w:tblLayout w:type="fixed"/>
        <w:tblCellMar>
          <w:left w:w="62" w:type="dxa"/>
          <w:right w:w="62" w:type="dxa"/>
        </w:tblCellMar>
        <w:tblLook w:val="0000"/>
      </w:tblPr>
      <w:tblGrid>
        <w:gridCol w:w="9072"/>
      </w:tblGrid>
      <w:tr w:rsidTr="005D48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D482D">
            <w:pPr>
              <w:pStyle w:val="BodyText"/>
              <w:rPr>
                <w:lang w:val="en-NZ"/>
              </w:rPr>
            </w:pPr>
            <w:r w:rsidRPr="005D482D">
              <w:t>This section describes the skills and knowledge required for this Unit.</w:t>
            </w:r>
          </w:p>
        </w:tc>
      </w:tr>
      <w:tr w:rsidTr="005D48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D482D" w:rsidP="005D482D">
            <w:pPr>
              <w:pStyle w:val="TableHeading"/>
            </w:pPr>
            <w:r w:rsidRPr="005D482D">
              <w:rPr>
                <w:rStyle w:val="SpecialBold"/>
              </w:rPr>
              <w:t>Requir</w:t>
            </w:r>
            <w:r w:rsidRPr="005D482D">
              <w:rPr>
                <w:rStyle w:val="SpecialBold"/>
              </w:rPr>
              <w:t>ed skills include:</w:t>
            </w:r>
          </w:p>
          <w:p w:rsidR="00000000" w:rsidP="005D482D">
            <w:pPr>
              <w:pStyle w:val="BodyText"/>
              <w:rPr>
                <w:lang w:val="en-NZ"/>
              </w:rPr>
            </w:pPr>
            <w:r w:rsidRPr="005D482D">
              <w:rPr>
                <w:rStyle w:val="SpecialBold"/>
              </w:rPr>
              <w:t>Ability to:</w:t>
            </w:r>
          </w:p>
        </w:tc>
      </w:tr>
      <w:tr w:rsidTr="005D48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D482D" w:rsidP="005D482D">
            <w:pPr>
              <w:pStyle w:val="ListBullet"/>
            </w:pPr>
            <w:r w:rsidRPr="005D482D">
              <w:t>observe and recognise normal and abnormal carcase responses to electrical stimulation</w:t>
            </w:r>
          </w:p>
          <w:p w:rsidR="00000000" w:rsidRPr="005D482D" w:rsidP="005D482D">
            <w:pPr>
              <w:pStyle w:val="ListBullet"/>
            </w:pPr>
            <w:r w:rsidRPr="005D482D">
              <w:t>instruct workers in and around electrical stimulation units to recognise and report abnormal carcase responses</w:t>
            </w:r>
          </w:p>
          <w:p w:rsidR="00000000" w:rsidRPr="005D482D" w:rsidP="005D482D">
            <w:pPr>
              <w:pStyle w:val="ListBullet"/>
            </w:pPr>
            <w:r w:rsidRPr="005D482D">
              <w:t>monitor the electrical stimulation unit using the correct procedure including readouts</w:t>
            </w:r>
          </w:p>
          <w:p w:rsidR="00000000" w:rsidRPr="005D482D" w:rsidP="005D482D">
            <w:pPr>
              <w:pStyle w:val="ListBullet"/>
            </w:pPr>
            <w:r w:rsidRPr="005D482D">
              <w:t>use dummy load across each of the electrical inputs to check operation</w:t>
            </w:r>
          </w:p>
          <w:p w:rsidR="00000000" w:rsidRPr="005D482D" w:rsidP="005D482D">
            <w:pPr>
              <w:pStyle w:val="ListBullet"/>
            </w:pPr>
            <w:r w:rsidRPr="005D482D">
              <w:t>request and schedule maintenance</w:t>
            </w:r>
          </w:p>
          <w:p w:rsidR="00000000" w:rsidRPr="005D482D" w:rsidP="005D482D">
            <w:pPr>
              <w:pStyle w:val="ListBullet"/>
            </w:pPr>
            <w:r w:rsidRPr="005D482D">
              <w:t>review maintenance and performance audit reports and ensure follo</w:t>
            </w:r>
            <w:r w:rsidRPr="005D482D">
              <w:t>w up action has been taken</w:t>
            </w:r>
          </w:p>
          <w:p w:rsidR="00000000" w:rsidRPr="005D482D" w:rsidP="005D482D">
            <w:pPr>
              <w:pStyle w:val="ListBullet"/>
            </w:pPr>
            <w:r w:rsidRPr="005D482D">
              <w:t>apply relevant communication skills</w:t>
            </w:r>
          </w:p>
          <w:p w:rsidR="00000000" w:rsidRPr="005D482D" w:rsidP="005D482D">
            <w:pPr>
              <w:pStyle w:val="ListBullet"/>
            </w:pPr>
            <w:r w:rsidRPr="005D482D">
              <w:t>work effectively as an individual and as part of a team</w:t>
            </w:r>
          </w:p>
          <w:p w:rsidR="00000000" w:rsidRPr="005D482D" w:rsidP="005D482D">
            <w:pPr>
              <w:pStyle w:val="ListBullet"/>
            </w:pPr>
            <w:r w:rsidRPr="005D482D">
              <w:t>take action to improve work performance as a result of self-evaluation, feedback from others, or in response to changed work practices or</w:t>
            </w:r>
            <w:r w:rsidRPr="005D482D">
              <w:t xml:space="preserve"> technology.</w:t>
            </w:r>
          </w:p>
          <w:p w:rsidR="00000000" w:rsidP="005D482D">
            <w:pPr>
              <w:pStyle w:val="BodyText"/>
              <w:rPr>
                <w:lang w:val="en-NZ"/>
              </w:rPr>
            </w:pPr>
          </w:p>
        </w:tc>
      </w:tr>
      <w:tr w:rsidTr="005D48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D482D" w:rsidP="005D482D">
            <w:pPr>
              <w:pStyle w:val="TableHeading"/>
            </w:pPr>
            <w:r w:rsidRPr="005D482D">
              <w:rPr>
                <w:rStyle w:val="SpecialBold"/>
              </w:rPr>
              <w:t>Required knowledge includes:</w:t>
            </w:r>
          </w:p>
          <w:p w:rsidR="00000000" w:rsidP="005D482D">
            <w:pPr>
              <w:pStyle w:val="BodyText"/>
              <w:rPr>
                <w:lang w:val="en-NZ"/>
              </w:rPr>
            </w:pPr>
            <w:r w:rsidRPr="005D482D">
              <w:rPr>
                <w:rStyle w:val="SpecialBold"/>
              </w:rPr>
              <w:t>Knowledge of:</w:t>
            </w:r>
          </w:p>
        </w:tc>
      </w:tr>
      <w:tr w:rsidTr="005D482D">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5D482D" w:rsidP="005D482D">
            <w:pPr>
              <w:pStyle w:val="ListBullet"/>
            </w:pPr>
            <w:r w:rsidRPr="005D482D">
              <w:t>purpose of electrical stimulation</w:t>
            </w:r>
          </w:p>
          <w:p w:rsidR="00000000" w:rsidRPr="005D482D" w:rsidP="005D482D">
            <w:pPr>
              <w:pStyle w:val="ListBullet"/>
            </w:pPr>
            <w:r w:rsidRPr="005D482D">
              <w:t>pH/temperature window and its importance to meat quality</w:t>
            </w:r>
          </w:p>
          <w:p w:rsidR="00000000" w:rsidRPr="005D482D" w:rsidP="005D482D">
            <w:pPr>
              <w:pStyle w:val="ListBullet"/>
            </w:pPr>
            <w:r w:rsidRPr="005D482D">
              <w:t>causes of heat toughening and cold shortening and the impacts on meat quality</w:t>
            </w:r>
          </w:p>
          <w:p w:rsidR="00000000" w:rsidRPr="005D482D" w:rsidP="005D482D">
            <w:pPr>
              <w:pStyle w:val="ListBullet"/>
            </w:pPr>
            <w:r w:rsidRPr="005D482D">
              <w:t>correct procedures to check electrical stimulation equipment operation</w:t>
            </w:r>
          </w:p>
          <w:p w:rsidR="00000000" w:rsidRPr="005D482D" w:rsidP="005D482D">
            <w:pPr>
              <w:pStyle w:val="ListBullet"/>
            </w:pPr>
            <w:r w:rsidRPr="005D482D">
              <w:t>purpose of dummy loads to check operation</w:t>
            </w:r>
          </w:p>
          <w:p w:rsidR="00000000" w:rsidRPr="005D482D" w:rsidP="005D482D">
            <w:pPr>
              <w:pStyle w:val="ListBullet"/>
            </w:pPr>
            <w:r w:rsidRPr="005D482D">
              <w:t>relevant work instructions and manufacturers specifications</w:t>
            </w:r>
          </w:p>
          <w:p w:rsidR="00000000" w:rsidRPr="005D482D" w:rsidP="005D482D">
            <w:pPr>
              <w:pStyle w:val="ListBullet"/>
            </w:pPr>
            <w:r w:rsidRPr="005D482D">
              <w:t>normal and abnormal reactions of carcases to electrical stimulation</w:t>
            </w:r>
          </w:p>
          <w:p w:rsidR="00000000" w:rsidRPr="005D482D" w:rsidP="005D482D">
            <w:pPr>
              <w:pStyle w:val="ListBullet"/>
            </w:pPr>
            <w:r w:rsidRPr="005D482D">
              <w:t>required routin</w:t>
            </w:r>
            <w:r w:rsidRPr="005D482D">
              <w:t>e checks for electrical parameters, stored programs, electrical safety, electrodes and equipment integration</w:t>
            </w:r>
          </w:p>
          <w:p w:rsidR="00000000" w:rsidRPr="005D482D" w:rsidP="005D482D">
            <w:pPr>
              <w:pStyle w:val="ListBullet"/>
            </w:pPr>
            <w:r w:rsidRPr="005D482D">
              <w:t>use of an oscilloscope to ensure that the waveform parameters are as specified</w:t>
            </w:r>
          </w:p>
          <w:p w:rsidR="00000000" w:rsidRPr="005D482D" w:rsidP="005D482D">
            <w:pPr>
              <w:pStyle w:val="ListBullet"/>
            </w:pPr>
            <w:r w:rsidRPr="005D482D">
              <w:t xml:space="preserve">maintenance and equipment reports </w:t>
            </w:r>
          </w:p>
          <w:p w:rsidR="00000000" w:rsidRPr="005D482D" w:rsidP="005D482D">
            <w:pPr>
              <w:pStyle w:val="ListBullet"/>
            </w:pPr>
            <w:r w:rsidRPr="005D482D">
              <w:t>audit process for electrical stim</w:t>
            </w:r>
            <w:r w:rsidRPr="005D482D">
              <w:t>ulation unit performance and the various potential findings</w:t>
            </w:r>
          </w:p>
          <w:p w:rsidR="00000000" w:rsidRPr="005D482D" w:rsidP="005D482D">
            <w:pPr>
              <w:pStyle w:val="ListBullet"/>
            </w:pPr>
            <w:r w:rsidRPr="005D482D">
              <w:t>how to respond to adverse audit findings of electrical stimulation unit performance</w:t>
            </w:r>
          </w:p>
          <w:p w:rsidR="00000000" w:rsidRPr="005D482D" w:rsidP="005D482D">
            <w:pPr>
              <w:pStyle w:val="ListBullet"/>
            </w:pPr>
            <w:r w:rsidRPr="005D482D">
              <w:t>workplace health and safety issues associated in working around electrical stimulation units.</w:t>
            </w:r>
          </w:p>
        </w:tc>
      </w:tr>
    </w:tbl>
    <w:p w:rsidR="00000000" w:rsidRPr="005D482D" w:rsidP="005D482D">
      <w:pPr>
        <w:pStyle w:val="BodyText"/>
      </w:pPr>
    </w:p>
    <w:p w:rsidR="00000000" w:rsidRPr="005D482D" w:rsidP="005D482D">
      <w:pPr>
        <w:pStyle w:val="AllowPageBreak"/>
      </w:pPr>
    </w:p>
    <w:p w:rsidR="00000000" w:rsidRPr="005D482D" w:rsidP="005D482D">
      <w:pPr>
        <w:pStyle w:val="Heading1"/>
      </w:pPr>
      <w:bookmarkStart w:id="10" w:name="O_489019"/>
      <w:bookmarkEnd w:id="10"/>
      <w:r w:rsidRPr="005D482D">
        <w:t>Evidence Guide</w:t>
      </w:r>
    </w:p>
    <w:tbl>
      <w:tblPr>
        <w:tblW w:w="0" w:type="auto"/>
        <w:tblLayout w:type="fixed"/>
        <w:tblCellMar>
          <w:left w:w="62" w:type="dxa"/>
          <w:right w:w="62" w:type="dxa"/>
        </w:tblCellMar>
        <w:tblLook w:val="0000"/>
      </w:tblPr>
      <w:tblGrid>
        <w:gridCol w:w="3674"/>
        <w:gridCol w:w="5398"/>
      </w:tblGrid>
      <w:tr w:rsidTr="00C04E89">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82D">
            <w:pPr>
              <w:pStyle w:val="BodyText"/>
              <w:rPr>
                <w:lang w:val="en-NZ"/>
              </w:rPr>
            </w:pPr>
            <w:r w:rsidRPr="005D482D">
              <w:t>The evidence guide provides advice on assessment and must be read in conjunction with the performance criteria, required skills and knowledge, range statement and the Assessment Guidelines for the Training Package.</w:t>
            </w:r>
          </w:p>
        </w:tc>
      </w:tr>
      <w:tr w:rsidTr="00C04E8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82D">
            <w:pPr>
              <w:pStyle w:val="BodyText"/>
              <w:rPr>
                <w:lang w:val="en-NZ"/>
              </w:rPr>
            </w:pPr>
            <w:r w:rsidRPr="005D482D">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82D" w:rsidP="005D482D">
            <w:pPr>
              <w:pStyle w:val="BodyText"/>
            </w:pPr>
            <w:r w:rsidRPr="005D482D">
              <w:t>The meat industry has specific and clear requirements for evidence. A minimum of three forms of evidence is required to demonstrate competency in the meat industry. This is specifically designed to provide evidence that covers the de</w:t>
            </w:r>
            <w:r w:rsidRPr="005D482D">
              <w:t>monstration in the workplace of all aspects of competency over time.</w:t>
            </w:r>
          </w:p>
          <w:p w:rsidR="00000000" w:rsidRPr="005D482D" w:rsidP="005D482D">
            <w:pPr>
              <w:pStyle w:val="BodyText"/>
            </w:pPr>
            <w:r w:rsidRPr="005D482D">
              <w:t>These requirements are in addition to the requirements for valid, current, authentic and sufficient evidence.</w:t>
            </w:r>
          </w:p>
          <w:p w:rsidR="00000000" w:rsidRPr="005D482D" w:rsidP="005D482D">
            <w:pPr>
              <w:pStyle w:val="BodyText"/>
            </w:pPr>
            <w:r w:rsidRPr="005D482D">
              <w:t>Three forms of evidence means three different kinds of evidence – not three p</w:t>
            </w:r>
            <w:r w:rsidRPr="005D482D">
              <w:t>ieces of the same kind. In practice it will mean that most of the Unit is covered twice. This increases the legitimacy of the evidence.</w:t>
            </w:r>
          </w:p>
          <w:p w:rsidR="00000000" w:rsidP="005D482D">
            <w:pPr>
              <w:pStyle w:val="BodyText"/>
              <w:rPr>
                <w:lang w:val="en-NZ"/>
              </w:rPr>
            </w:pPr>
            <w:r w:rsidRPr="005D482D">
              <w:t>All assessment must be conducted against Australian meat industry standards and regulations.</w:t>
            </w:r>
          </w:p>
        </w:tc>
      </w:tr>
      <w:tr w:rsidTr="00C04E8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82D">
            <w:pPr>
              <w:pStyle w:val="BodyText"/>
              <w:rPr>
                <w:lang w:val="en-NZ"/>
              </w:rPr>
            </w:pPr>
            <w:r w:rsidRPr="005D482D">
              <w:t>Critical aspects for asses</w:t>
            </w:r>
            <w:r w:rsidRPr="005D482D">
              <w:t>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82D">
            <w:pPr>
              <w:pStyle w:val="BodyText"/>
              <w:rPr>
                <w:lang w:val="en-NZ"/>
              </w:rPr>
            </w:pPr>
            <w:r w:rsidRPr="005D482D">
              <w:t>Competency must be demonstrated over time and under typical operating and production conditions for the enterprise.</w:t>
            </w:r>
          </w:p>
        </w:tc>
      </w:tr>
      <w:tr w:rsidTr="00C04E8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82D">
            <w:pPr>
              <w:pStyle w:val="BodyText"/>
              <w:rPr>
                <w:lang w:val="en-NZ"/>
              </w:rPr>
            </w:pPr>
            <w:r w:rsidRPr="005D482D">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82D">
            <w:pPr>
              <w:pStyle w:val="BodyText"/>
              <w:rPr>
                <w:lang w:val="en-NZ"/>
              </w:rPr>
            </w:pPr>
            <w:r w:rsidRPr="005D482D">
              <w:t>Assessment may occur in</w:t>
            </w:r>
            <w:r w:rsidRPr="005D482D">
              <w:t xml:space="preserve"> the workplace under normal enterprise or production conditions as well as in simulated situations.</w:t>
            </w:r>
          </w:p>
        </w:tc>
      </w:tr>
      <w:tr w:rsidTr="00C04E8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82D">
            <w:pPr>
              <w:pStyle w:val="BodyText"/>
              <w:rPr>
                <w:lang w:val="en-NZ"/>
              </w:rPr>
            </w:pPr>
            <w:r w:rsidRPr="005D482D">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82D" w:rsidP="005D482D">
            <w:pPr>
              <w:pStyle w:val="BodyText"/>
            </w:pPr>
            <w:r w:rsidRPr="005D482D">
              <w:t>Recommended methods of assessment include:</w:t>
            </w:r>
          </w:p>
          <w:p w:rsidR="00000000" w:rsidRPr="005D482D" w:rsidP="005D482D">
            <w:pPr>
              <w:pStyle w:val="ListBullet"/>
            </w:pPr>
            <w:r w:rsidRPr="005D482D">
              <w:t xml:space="preserve">workplace demonstration </w:t>
            </w:r>
          </w:p>
          <w:p w:rsidR="00000000" w:rsidRPr="005D482D" w:rsidP="005D482D">
            <w:pPr>
              <w:pStyle w:val="ListBullet"/>
            </w:pPr>
            <w:r w:rsidRPr="005D482D">
              <w:t>quiz of underpinning knowledge</w:t>
            </w:r>
          </w:p>
          <w:p w:rsidR="00000000" w:rsidRPr="005D482D" w:rsidP="005D482D">
            <w:pPr>
              <w:pStyle w:val="ListBullet"/>
            </w:pPr>
            <w:r w:rsidRPr="005D482D">
              <w:t>workplace project</w:t>
            </w:r>
          </w:p>
          <w:p w:rsidR="00000000" w:rsidRPr="005D482D" w:rsidP="005D482D">
            <w:pPr>
              <w:pStyle w:val="ListBullet"/>
            </w:pPr>
            <w:r w:rsidRPr="005D482D">
              <w:t>workplace referee report of performance over time.</w:t>
            </w:r>
          </w:p>
          <w:p w:rsidR="00000000" w:rsidP="005D482D">
            <w:pPr>
              <w:pStyle w:val="BodyText"/>
              <w:rPr>
                <w:lang w:val="en-NZ"/>
              </w:rPr>
            </w:pPr>
            <w:r w:rsidRPr="005D482D">
              <w:t>Assessment practices should take into account any relevant language or cultural issues related to Aboriginality or Torres Strait Islander, gender, or language backgrounds other than English. Language and l</w:t>
            </w:r>
            <w:r w:rsidRPr="005D482D">
              <w:t>iteracy demands of the assessment task should not be higher than those of the work role.</w:t>
            </w:r>
          </w:p>
        </w:tc>
      </w:tr>
      <w:tr w:rsidTr="00C04E8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82D">
            <w:pPr>
              <w:pStyle w:val="BodyText"/>
              <w:rPr>
                <w:lang w:val="en-NZ"/>
              </w:rPr>
            </w:pPr>
            <w:r w:rsidRPr="005D482D">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82D" w:rsidP="005D482D">
            <w:pPr>
              <w:pStyle w:val="BodyText"/>
            </w:pPr>
            <w:r w:rsidRPr="005D482D">
              <w:t xml:space="preserve">A current list of resources for this Unit of Competency is available from MINTRAC </w:t>
            </w:r>
            <w:r w:rsidRPr="005D482D">
              <w:t>www.mintrac.com.au</w:t>
            </w:r>
            <w:r w:rsidRPr="005D482D">
              <w:t xml:space="preserve"> or telephone 1800 817 462.</w:t>
            </w:r>
          </w:p>
        </w:tc>
      </w:tr>
    </w:tbl>
    <w:p w:rsidR="00000000" w:rsidRPr="005D482D" w:rsidP="005D482D">
      <w:pPr>
        <w:pStyle w:val="BodyText"/>
      </w:pPr>
    </w:p>
    <w:p w:rsidR="00000000" w:rsidRPr="005D482D" w:rsidP="005D482D">
      <w:pPr>
        <w:pStyle w:val="AllowPageBreak"/>
      </w:pPr>
    </w:p>
    <w:p w:rsidR="00000000" w:rsidRPr="005D482D" w:rsidP="005D482D">
      <w:pPr>
        <w:pStyle w:val="Heading1"/>
      </w:pPr>
      <w:bookmarkStart w:id="11" w:name="O_489020"/>
      <w:bookmarkEnd w:id="11"/>
      <w:r w:rsidRPr="005D482D">
        <w:t>Range Statement</w:t>
      </w:r>
    </w:p>
    <w:tbl>
      <w:tblPr>
        <w:tblW w:w="9660" w:type="dxa"/>
        <w:tblLayout w:type="fixed"/>
        <w:tblCellMar>
          <w:left w:w="62" w:type="dxa"/>
          <w:right w:w="62" w:type="dxa"/>
        </w:tblCellMar>
        <w:tblLook w:val="0000"/>
      </w:tblPr>
      <w:tblGrid>
        <w:gridCol w:w="3887"/>
        <w:gridCol w:w="5743"/>
        <w:gridCol w:w="30"/>
      </w:tblGrid>
      <w:tr w:rsidTr="005D482D">
        <w:tblPrEx>
          <w:tblW w:w="9660" w:type="dxa"/>
          <w:tblLayout w:type="fixed"/>
          <w:tblCellMar>
            <w:left w:w="62" w:type="dxa"/>
            <w:right w:w="62" w:type="dxa"/>
          </w:tblCellMar>
          <w:tblLook w:val="0000"/>
        </w:tblPrEx>
        <w:trPr>
          <w:gridAfter w:val="1"/>
          <w:wAfter w:w="30" w:type="dxa"/>
        </w:trPr>
        <w:tc>
          <w:tcPr>
            <w:tcW w:w="96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82D">
            <w:pPr>
              <w:pStyle w:val="BodyText"/>
              <w:rPr>
                <w:lang w:val="en-NZ"/>
              </w:rPr>
            </w:pPr>
            <w:r w:rsidRPr="005D482D">
              <w:t>The range statement relates to the Unit of Competency as a whole. It allows for different work environments and situations that may affect performance. Bold italicised wording, if used in the performance criteria, is detail</w:t>
            </w:r>
            <w:r w:rsidRPr="005D482D">
              <w:t>ed below. Essential operating conditions that may be present with training and assessment (depending on the work situation, needs of the candidate, accessibility of the item, and local industry and regional contexts) may also be included.</w:t>
            </w:r>
          </w:p>
        </w:tc>
      </w:tr>
      <w:tr w:rsidTr="005D482D">
        <w:tblPrEx>
          <w:tblW w:w="9660" w:type="dxa"/>
          <w:tblLayout w:type="fixed"/>
          <w:tblCellMar>
            <w:left w:w="62" w:type="dxa"/>
            <w:right w:w="62" w:type="dxa"/>
          </w:tblCellMar>
          <w:tblLook w:val="0000"/>
        </w:tblPrEx>
        <w:tc>
          <w:tcPr>
            <w:tcW w:w="3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82D">
            <w:pPr>
              <w:pStyle w:val="BodyText"/>
              <w:rPr>
                <w:lang w:val="en-NZ"/>
              </w:rPr>
            </w:pPr>
            <w:r w:rsidRPr="005D482D">
              <w:rPr>
                <w:rStyle w:val="BoldandItalics"/>
              </w:rPr>
              <w:t>Workplace requi</w:t>
            </w:r>
            <w:r w:rsidRPr="005D482D">
              <w:rPr>
                <w:rStyle w:val="BoldandItalics"/>
              </w:rPr>
              <w:t xml:space="preserve">rements </w:t>
            </w:r>
            <w:r w:rsidRPr="005D482D">
              <w:t>may include:</w:t>
            </w:r>
          </w:p>
        </w:tc>
        <w:tc>
          <w:tcPr>
            <w:tcW w:w="57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82D" w:rsidP="005D482D">
            <w:pPr>
              <w:pStyle w:val="ListBullet"/>
            </w:pPr>
            <w:r w:rsidRPr="005D482D">
              <w:t>enterprise-specific procedures</w:t>
            </w:r>
          </w:p>
          <w:p w:rsidR="00000000" w:rsidRPr="005D482D" w:rsidP="005D482D">
            <w:pPr>
              <w:pStyle w:val="ListBullet"/>
            </w:pPr>
            <w:r w:rsidRPr="005D482D">
              <w:t>workplace health and safety requirements</w:t>
            </w:r>
          </w:p>
          <w:p w:rsidR="00000000" w:rsidRPr="005D482D" w:rsidP="005D482D">
            <w:pPr>
              <w:pStyle w:val="ListBullet"/>
            </w:pPr>
            <w:r w:rsidRPr="005D482D">
              <w:t>Quality Assurance (QA) requirements</w:t>
            </w:r>
          </w:p>
          <w:p w:rsidR="00000000" w:rsidRPr="005D482D" w:rsidP="005D482D">
            <w:pPr>
              <w:pStyle w:val="ListBullet"/>
            </w:pPr>
            <w:r w:rsidRPr="005D482D">
              <w:t>Standard Operating Procedures (SOPs)</w:t>
            </w:r>
          </w:p>
          <w:p w:rsidR="00000000" w:rsidRPr="005D482D" w:rsidP="005D482D">
            <w:pPr>
              <w:pStyle w:val="ListBullet"/>
            </w:pPr>
            <w:r w:rsidRPr="005D482D">
              <w:t>the ability to perform the task to production requirements</w:t>
            </w:r>
          </w:p>
          <w:p w:rsidR="00000000" w:rsidRPr="005D482D" w:rsidP="005D482D">
            <w:pPr>
              <w:pStyle w:val="ListBullet"/>
            </w:pPr>
            <w:r w:rsidRPr="005D482D">
              <w:t>work instructions</w:t>
            </w:r>
          </w:p>
          <w:p w:rsidR="00000000" w:rsidP="005D482D">
            <w:pPr>
              <w:pStyle w:val="ListBullet"/>
              <w:rPr>
                <w:lang w:val="en-NZ"/>
              </w:rPr>
            </w:pPr>
            <w:r w:rsidRPr="005D482D">
              <w:t>manufacturer</w:t>
            </w:r>
            <w:r w:rsidRPr="005D482D">
              <w:t>’s requirements.</w:t>
            </w:r>
          </w:p>
        </w:tc>
      </w:tr>
      <w:tr w:rsidTr="005D482D">
        <w:tblPrEx>
          <w:tblW w:w="9660" w:type="dxa"/>
          <w:tblLayout w:type="fixed"/>
          <w:tblCellMar>
            <w:left w:w="62" w:type="dxa"/>
            <w:right w:w="62" w:type="dxa"/>
          </w:tblCellMar>
          <w:tblLook w:val="0000"/>
        </w:tblPrEx>
        <w:tc>
          <w:tcPr>
            <w:tcW w:w="3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82D">
            <w:pPr>
              <w:pStyle w:val="BodyText"/>
              <w:rPr>
                <w:lang w:val="en-NZ"/>
              </w:rPr>
            </w:pPr>
            <w:r w:rsidRPr="005D482D">
              <w:rPr>
                <w:rStyle w:val="BoldandItalics"/>
              </w:rPr>
              <w:t>Electrical stimulation units</w:t>
            </w:r>
            <w:r w:rsidRPr="005D482D">
              <w:t xml:space="preserve"> may include:</w:t>
            </w:r>
          </w:p>
        </w:tc>
        <w:tc>
          <w:tcPr>
            <w:tcW w:w="57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82D" w:rsidP="005D482D">
            <w:pPr>
              <w:pStyle w:val="ListBullet"/>
            </w:pPr>
            <w:r w:rsidRPr="005D482D">
              <w:t>high, medium and low voltage units</w:t>
            </w:r>
          </w:p>
          <w:p w:rsidR="00000000" w:rsidP="005D482D">
            <w:pPr>
              <w:pStyle w:val="ListBullet"/>
              <w:rPr>
                <w:lang w:val="en-NZ"/>
              </w:rPr>
            </w:pPr>
            <w:r w:rsidRPr="005D482D">
              <w:t>automated or manual units.</w:t>
            </w:r>
          </w:p>
        </w:tc>
      </w:tr>
      <w:tr w:rsidTr="005D482D">
        <w:tblPrEx>
          <w:tblW w:w="9660" w:type="dxa"/>
          <w:tblLayout w:type="fixed"/>
          <w:tblCellMar>
            <w:left w:w="62" w:type="dxa"/>
            <w:right w:w="62" w:type="dxa"/>
          </w:tblCellMar>
          <w:tblLook w:val="0000"/>
        </w:tblPrEx>
        <w:tc>
          <w:tcPr>
            <w:tcW w:w="3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82D">
            <w:pPr>
              <w:pStyle w:val="BodyText"/>
              <w:rPr>
                <w:lang w:val="en-NZ"/>
              </w:rPr>
            </w:pPr>
            <w:r w:rsidRPr="005D482D">
              <w:rPr>
                <w:rStyle w:val="BoldandItalics"/>
              </w:rPr>
              <w:t xml:space="preserve">Electrical inputs </w:t>
            </w:r>
            <w:r w:rsidRPr="005D482D">
              <w:t>to carcases may be derived from:</w:t>
            </w:r>
          </w:p>
        </w:tc>
        <w:tc>
          <w:tcPr>
            <w:tcW w:w="57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82D" w:rsidP="005D482D">
            <w:pPr>
              <w:pStyle w:val="ListBullet"/>
            </w:pPr>
            <w:r w:rsidRPr="005D482D">
              <w:t>High Frequency Immobilisation (HFI)</w:t>
            </w:r>
          </w:p>
          <w:p w:rsidR="00000000" w:rsidRPr="005D482D" w:rsidP="005D482D">
            <w:pPr>
              <w:pStyle w:val="ListBullet"/>
            </w:pPr>
            <w:r w:rsidRPr="005D482D">
              <w:t>Moderate Frequency Immobilisation</w:t>
            </w:r>
          </w:p>
          <w:p w:rsidR="00000000" w:rsidRPr="005D482D" w:rsidP="005D482D">
            <w:pPr>
              <w:pStyle w:val="ListBullet"/>
            </w:pPr>
            <w:r w:rsidRPr="005D482D">
              <w:t>electronic bleed/stimulation</w:t>
            </w:r>
          </w:p>
          <w:p w:rsidR="00000000" w:rsidP="005D482D">
            <w:pPr>
              <w:pStyle w:val="ListBullet"/>
              <w:rPr>
                <w:lang w:val="en-NZ"/>
              </w:rPr>
            </w:pPr>
            <w:r w:rsidRPr="005D482D">
              <w:t>pre and post dressing high, medium and low voltage stimulation.</w:t>
            </w:r>
          </w:p>
        </w:tc>
      </w:tr>
      <w:tr w:rsidTr="005D482D">
        <w:tblPrEx>
          <w:tblW w:w="9660" w:type="dxa"/>
          <w:tblLayout w:type="fixed"/>
          <w:tblCellMar>
            <w:left w:w="62" w:type="dxa"/>
            <w:right w:w="62" w:type="dxa"/>
          </w:tblCellMar>
          <w:tblLook w:val="0000"/>
        </w:tblPrEx>
        <w:tc>
          <w:tcPr>
            <w:tcW w:w="3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82D">
            <w:pPr>
              <w:pStyle w:val="BodyText"/>
              <w:rPr>
                <w:lang w:val="en-NZ"/>
              </w:rPr>
            </w:pPr>
            <w:r w:rsidRPr="005D482D">
              <w:rPr>
                <w:rStyle w:val="BoldandItalics"/>
              </w:rPr>
              <w:t>Abnormal reaction</w:t>
            </w:r>
            <w:r w:rsidRPr="005D482D">
              <w:t xml:space="preserve"> may include:</w:t>
            </w:r>
          </w:p>
        </w:tc>
        <w:tc>
          <w:tcPr>
            <w:tcW w:w="57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82D" w:rsidP="005D482D">
            <w:pPr>
              <w:pStyle w:val="ListBullet"/>
            </w:pPr>
            <w:r w:rsidRPr="005D482D">
              <w:t>carcases bouncing</w:t>
            </w:r>
          </w:p>
          <w:p w:rsidR="00000000" w:rsidP="005D482D">
            <w:pPr>
              <w:pStyle w:val="ListBullet"/>
              <w:rPr>
                <w:lang w:val="en-NZ"/>
              </w:rPr>
            </w:pPr>
            <w:r w:rsidRPr="005D482D">
              <w:t>no visual response.</w:t>
            </w:r>
          </w:p>
        </w:tc>
      </w:tr>
      <w:tr w:rsidTr="005D482D">
        <w:tblPrEx>
          <w:tblW w:w="9660" w:type="dxa"/>
          <w:tblLayout w:type="fixed"/>
          <w:tblCellMar>
            <w:left w:w="62" w:type="dxa"/>
            <w:right w:w="62" w:type="dxa"/>
          </w:tblCellMar>
          <w:tblLook w:val="0000"/>
        </w:tblPrEx>
        <w:tc>
          <w:tcPr>
            <w:tcW w:w="3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82D">
            <w:pPr>
              <w:pStyle w:val="BodyText"/>
              <w:rPr>
                <w:lang w:val="en-NZ"/>
              </w:rPr>
            </w:pPr>
            <w:r w:rsidRPr="005D482D">
              <w:rPr>
                <w:rStyle w:val="BoldandItalics"/>
              </w:rPr>
              <w:t xml:space="preserve">Regulatory requirements </w:t>
            </w:r>
            <w:r w:rsidRPr="005D482D">
              <w:t>may include:</w:t>
            </w:r>
          </w:p>
        </w:tc>
        <w:tc>
          <w:tcPr>
            <w:tcW w:w="57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82D" w:rsidP="005D482D">
            <w:pPr>
              <w:pStyle w:val="ListBullet"/>
            </w:pPr>
            <w:r w:rsidRPr="005D482D">
              <w:t>Export Control Act</w:t>
            </w:r>
          </w:p>
          <w:p w:rsidR="00000000" w:rsidRPr="005D482D" w:rsidP="005D482D">
            <w:pPr>
              <w:pStyle w:val="ListBullet"/>
            </w:pPr>
            <w:r w:rsidRPr="005D482D">
              <w:t>hygiene and sanitation requirements</w:t>
            </w:r>
          </w:p>
          <w:p w:rsidR="00000000" w:rsidRPr="005D482D" w:rsidP="005D482D">
            <w:pPr>
              <w:pStyle w:val="ListBullet"/>
            </w:pPr>
            <w:r w:rsidRPr="005D482D">
              <w:t>relevant regulations and Australian Standards</w:t>
            </w:r>
          </w:p>
          <w:p w:rsidR="00000000" w:rsidRPr="005D482D" w:rsidP="005D482D">
            <w:pPr>
              <w:pStyle w:val="ListBullet"/>
            </w:pPr>
            <w:r w:rsidRPr="005D482D">
              <w:t>requirements set out in AS 4696:2007 Australian Standard for Hygienic Production and Transportation of Meat and Meat Products for Human Consumption</w:t>
            </w:r>
          </w:p>
          <w:p w:rsidR="00000000" w:rsidP="005D482D">
            <w:pPr>
              <w:pStyle w:val="ListBullet"/>
              <w:rPr>
                <w:lang w:val="en-NZ"/>
              </w:rPr>
            </w:pPr>
            <w:r w:rsidRPr="005D482D">
              <w:t>relevant State legislation</w:t>
            </w:r>
            <w:r w:rsidRPr="005D482D">
              <w:t xml:space="preserve"> relating to the installation and maintenance of electrical equipment.</w:t>
            </w:r>
          </w:p>
        </w:tc>
      </w:tr>
      <w:tr w:rsidTr="005D482D">
        <w:tblPrEx>
          <w:tblW w:w="9660" w:type="dxa"/>
          <w:tblLayout w:type="fixed"/>
          <w:tblCellMar>
            <w:left w:w="62" w:type="dxa"/>
            <w:right w:w="62" w:type="dxa"/>
          </w:tblCellMar>
          <w:tblLook w:val="0000"/>
        </w:tblPrEx>
        <w:tc>
          <w:tcPr>
            <w:tcW w:w="3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82D">
            <w:pPr>
              <w:pStyle w:val="BodyText"/>
              <w:rPr>
                <w:lang w:val="en-NZ"/>
              </w:rPr>
            </w:pPr>
            <w:r w:rsidRPr="005D482D">
              <w:rPr>
                <w:rStyle w:val="BoldandItalics"/>
              </w:rPr>
              <w:t xml:space="preserve">Communication skills </w:t>
            </w:r>
            <w:r w:rsidRPr="005D482D">
              <w:t>may include:</w:t>
            </w:r>
          </w:p>
        </w:tc>
        <w:tc>
          <w:tcPr>
            <w:tcW w:w="57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82D" w:rsidP="005D482D">
            <w:pPr>
              <w:pStyle w:val="ListBullet"/>
            </w:pPr>
            <w:r w:rsidRPr="005D482D">
              <w:t>communicating and working with diverse individuals and groups</w:t>
            </w:r>
          </w:p>
          <w:p w:rsidR="00000000" w:rsidRPr="005D482D" w:rsidP="005D482D">
            <w:pPr>
              <w:pStyle w:val="ListBullet"/>
            </w:pPr>
            <w:r w:rsidRPr="005D482D">
              <w:t>interpreting customer requirements</w:t>
            </w:r>
          </w:p>
          <w:p w:rsidR="00000000" w:rsidRPr="005D482D" w:rsidP="005D482D">
            <w:pPr>
              <w:pStyle w:val="ListBullet"/>
            </w:pPr>
            <w:r w:rsidRPr="005D482D">
              <w:t>listening and understanding, speaking clearly and directly</w:t>
            </w:r>
          </w:p>
          <w:p w:rsidR="00000000" w:rsidRPr="005D482D" w:rsidP="005D482D">
            <w:pPr>
              <w:pStyle w:val="ListBullet"/>
            </w:pPr>
            <w:r w:rsidRPr="005D482D">
              <w:t>reading and interpreting workplace-related documentation</w:t>
            </w:r>
          </w:p>
          <w:p w:rsidR="00000000" w:rsidP="005D482D">
            <w:pPr>
              <w:pStyle w:val="ListBullet"/>
              <w:rPr>
                <w:lang w:val="en-NZ"/>
              </w:rPr>
            </w:pPr>
            <w:r w:rsidRPr="005D482D">
              <w:t>sharing information.</w:t>
            </w:r>
          </w:p>
        </w:tc>
      </w:tr>
      <w:tr w:rsidTr="005D482D">
        <w:tblPrEx>
          <w:tblW w:w="9660" w:type="dxa"/>
          <w:tblLayout w:type="fixed"/>
          <w:tblCellMar>
            <w:left w:w="62" w:type="dxa"/>
            <w:right w:w="62" w:type="dxa"/>
          </w:tblCellMar>
          <w:tblLook w:val="0000"/>
        </w:tblPrEx>
        <w:tc>
          <w:tcPr>
            <w:tcW w:w="3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82D">
            <w:pPr>
              <w:pStyle w:val="BodyText"/>
              <w:rPr>
                <w:lang w:val="en-NZ"/>
              </w:rPr>
            </w:pPr>
            <w:r w:rsidRPr="005D482D">
              <w:rPr>
                <w:rStyle w:val="BoldandItalics"/>
              </w:rPr>
              <w:t xml:space="preserve">Mathematical skills </w:t>
            </w:r>
            <w:r w:rsidRPr="005D482D">
              <w:t>may include:</w:t>
            </w:r>
          </w:p>
        </w:tc>
        <w:tc>
          <w:tcPr>
            <w:tcW w:w="57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82D" w:rsidP="005D482D">
            <w:pPr>
              <w:pStyle w:val="ListBullet"/>
            </w:pPr>
            <w:r w:rsidRPr="005D482D">
              <w:t>reading and recording data</w:t>
            </w:r>
          </w:p>
          <w:p w:rsidR="00000000" w:rsidP="005D482D">
            <w:pPr>
              <w:pStyle w:val="ListBullet"/>
              <w:rPr>
                <w:lang w:val="en-NZ"/>
              </w:rPr>
            </w:pPr>
            <w:r w:rsidRPr="005D482D">
              <w:t>reading and interpreting performance reports.</w:t>
            </w:r>
          </w:p>
        </w:tc>
      </w:tr>
      <w:tr w:rsidTr="005D482D">
        <w:tblPrEx>
          <w:tblW w:w="9660" w:type="dxa"/>
          <w:tblLayout w:type="fixed"/>
          <w:tblCellMar>
            <w:left w:w="62" w:type="dxa"/>
            <w:right w:w="62" w:type="dxa"/>
          </w:tblCellMar>
          <w:tblLook w:val="0000"/>
        </w:tblPrEx>
        <w:tc>
          <w:tcPr>
            <w:tcW w:w="3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82D">
            <w:pPr>
              <w:pStyle w:val="BodyText"/>
              <w:rPr>
                <w:lang w:val="en-NZ"/>
              </w:rPr>
            </w:pPr>
            <w:r w:rsidRPr="005D482D">
              <w:rPr>
                <w:rStyle w:val="BoldandItalics"/>
              </w:rPr>
              <w:t xml:space="preserve">Workplace health and safety requirements </w:t>
            </w:r>
            <w:r w:rsidRPr="005D482D">
              <w:t>may include:</w:t>
            </w:r>
          </w:p>
        </w:tc>
        <w:tc>
          <w:tcPr>
            <w:tcW w:w="57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82D" w:rsidP="005D482D">
            <w:pPr>
              <w:pStyle w:val="ListBullet"/>
            </w:pPr>
            <w:r w:rsidRPr="005D482D">
              <w:t>enterprise policies, procedures and programs</w:t>
            </w:r>
          </w:p>
          <w:p w:rsidR="00000000" w:rsidRPr="005D482D" w:rsidP="005D482D">
            <w:pPr>
              <w:pStyle w:val="ListBullet"/>
            </w:pPr>
            <w:r w:rsidRPr="005D482D">
              <w:t>workplace health and safety legal requirements</w:t>
            </w:r>
          </w:p>
          <w:p w:rsidR="00000000" w:rsidRPr="005D482D" w:rsidP="005D482D">
            <w:pPr>
              <w:pStyle w:val="ListBullet"/>
            </w:pPr>
            <w:r w:rsidRPr="005D482D">
              <w:t>Personal Protective Equipment (PPE) which may include:</w:t>
            </w:r>
          </w:p>
          <w:p w:rsidR="00000000" w:rsidRPr="005D482D" w:rsidP="005D482D">
            <w:pPr>
              <w:pStyle w:val="ListBullet"/>
            </w:pPr>
            <w:r w:rsidRPr="005D482D">
              <w:t>coats and aprons</w:t>
            </w:r>
          </w:p>
          <w:p w:rsidR="00000000" w:rsidRPr="005D482D" w:rsidP="005D482D">
            <w:pPr>
              <w:pStyle w:val="ListBullet"/>
            </w:pPr>
            <w:r w:rsidRPr="005D482D">
              <w:t>ear plugs or muffs</w:t>
            </w:r>
          </w:p>
          <w:p w:rsidR="00000000" w:rsidRPr="005D482D" w:rsidP="005D482D">
            <w:pPr>
              <w:pStyle w:val="ListBullet"/>
            </w:pPr>
            <w:r w:rsidRPr="005D482D">
              <w:t>eye and facial pro</w:t>
            </w:r>
            <w:r w:rsidRPr="005D482D">
              <w:t>tection</w:t>
            </w:r>
          </w:p>
          <w:p w:rsidR="00000000" w:rsidRPr="005D482D" w:rsidP="005D482D">
            <w:pPr>
              <w:pStyle w:val="ListBullet"/>
            </w:pPr>
            <w:r w:rsidRPr="005D482D">
              <w:t>head-wear</w:t>
            </w:r>
          </w:p>
          <w:p w:rsidR="00000000" w:rsidRPr="005D482D" w:rsidP="005D482D">
            <w:pPr>
              <w:pStyle w:val="ListBullet"/>
            </w:pPr>
            <w:r w:rsidRPr="005D482D">
              <w:t>lifting assistance</w:t>
            </w:r>
          </w:p>
          <w:p w:rsidR="00000000" w:rsidRPr="005D482D" w:rsidP="005D482D">
            <w:pPr>
              <w:pStyle w:val="ListBullet"/>
            </w:pPr>
            <w:r w:rsidRPr="005D482D">
              <w:t>mesh aprons</w:t>
            </w:r>
          </w:p>
          <w:p w:rsidR="00000000" w:rsidRPr="005D482D" w:rsidP="005D482D">
            <w:pPr>
              <w:pStyle w:val="ListBullet"/>
            </w:pPr>
            <w:r w:rsidRPr="005D482D">
              <w:t>protective boot covers</w:t>
            </w:r>
          </w:p>
          <w:p w:rsidR="00000000" w:rsidRPr="005D482D" w:rsidP="005D482D">
            <w:pPr>
              <w:pStyle w:val="ListBullet"/>
            </w:pPr>
            <w:r w:rsidRPr="005D482D">
              <w:t>protective hand and arm covering</w:t>
            </w:r>
          </w:p>
          <w:p w:rsidR="00000000" w:rsidRPr="005D482D" w:rsidP="005D482D">
            <w:pPr>
              <w:pStyle w:val="ListBullet"/>
            </w:pPr>
            <w:r w:rsidRPr="005D482D">
              <w:t>protective head and hair covering</w:t>
            </w:r>
          </w:p>
          <w:p w:rsidR="00000000" w:rsidRPr="005D482D" w:rsidP="005D482D">
            <w:pPr>
              <w:pStyle w:val="ListBullet"/>
            </w:pPr>
            <w:r w:rsidRPr="005D482D">
              <w:t>uniforms</w:t>
            </w:r>
          </w:p>
          <w:p w:rsidR="00000000" w:rsidRPr="005D482D" w:rsidP="005D482D">
            <w:pPr>
              <w:pStyle w:val="ListBullet"/>
            </w:pPr>
            <w:r w:rsidRPr="005D482D">
              <w:t>waterproof clothing</w:t>
            </w:r>
          </w:p>
          <w:p w:rsidR="00000000" w:rsidRPr="005D482D" w:rsidP="005D482D">
            <w:pPr>
              <w:pStyle w:val="ListBullet"/>
            </w:pPr>
            <w:r w:rsidRPr="005D482D">
              <w:t>work, safety or waterproof footwear</w:t>
            </w:r>
          </w:p>
          <w:p w:rsidR="00000000" w:rsidRPr="005D482D" w:rsidP="005D482D">
            <w:pPr>
              <w:pStyle w:val="ListBullet"/>
            </w:pPr>
            <w:r w:rsidRPr="005D482D">
              <w:t>requirements set out in standards and codes of practice.</w:t>
            </w:r>
          </w:p>
        </w:tc>
      </w:tr>
    </w:tbl>
    <w:p w:rsidR="00000000" w:rsidRPr="005D482D" w:rsidP="005D482D">
      <w:pPr>
        <w:pStyle w:val="BodyText"/>
      </w:pPr>
    </w:p>
    <w:p w:rsidR="00000000" w:rsidRPr="005D482D" w:rsidP="005D482D">
      <w:pPr>
        <w:pStyle w:val="AllowPageBreak"/>
      </w:pPr>
    </w:p>
    <w:p w:rsidR="00000000" w:rsidRPr="005D482D" w:rsidP="005D482D">
      <w:pPr>
        <w:pStyle w:val="Heading1"/>
      </w:pPr>
      <w:bookmarkStart w:id="12" w:name="O_489021"/>
      <w:bookmarkEnd w:id="12"/>
      <w:r w:rsidRPr="005D482D">
        <w:t>Unit Sector(s)</w:t>
      </w:r>
    </w:p>
    <w:p w:rsidR="00000000" w:rsidRPr="005D482D" w:rsidP="005D482D">
      <w:pPr>
        <w:pStyle w:val="BodyText"/>
      </w:pPr>
      <w:r w:rsidRPr="005D482D">
        <w:t>Not applicable.</w:t>
      </w:r>
    </w:p>
    <w:p w:rsidR="00000000" w:rsidRPr="005D482D" w:rsidP="005D482D">
      <w:pPr>
        <w:pStyle w:val="AllowPageBreak"/>
      </w:pPr>
    </w:p>
    <w:p w:rsidR="00000000" w:rsidRPr="005D482D" w:rsidP="005D482D">
      <w:pPr>
        <w:pStyle w:val="Heading1"/>
      </w:pPr>
      <w:bookmarkStart w:id="13" w:name="O_489022"/>
      <w:bookmarkEnd w:id="13"/>
      <w:r w:rsidRPr="005D482D">
        <w:t>Custom Content Section</w:t>
      </w:r>
    </w:p>
    <w:p w:rsidR="00000000" w:rsidRPr="005D482D" w:rsidP="005D482D">
      <w:pPr>
        <w:pStyle w:val="BodyText"/>
      </w:pPr>
      <w:r w:rsidRPr="005D482D">
        <w:t>Not applicable.</w:t>
      </w:r>
    </w:p>
    <w:p w:rsidR="00000000" w:rsidRPr="005D482D" w:rsidP="005D482D"/>
    <w:sectPr w:rsidSect="005D48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4E89" w:rsidP="00C04E8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E89" w:rsidP="005D482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04E89" w:rsidP="005D48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04E89" w:rsidP="005D48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2D" w:rsidRPr="00C04E89" w:rsidP="00C04E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E89" w:rsidRPr="002D2AF8" w:rsidP="005D482D">
    <w:pPr>
      <w:pStyle w:val="Header"/>
      <w:framePr w:wrap="around"/>
    </w:pPr>
    <w:r>
      <w:fldChar w:fldCharType="begin"/>
    </w:r>
    <w:r>
      <w:instrText xml:space="preserve"> TITLE   \* MERGEFORMAT </w:instrText>
    </w:r>
    <w:r>
      <w:fldChar w:fldCharType="separate"/>
    </w:r>
    <w:r>
      <w:t>MTMP3005A Monitor the effective operations of electrical stimulation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November 2012</w:t>
    </w:r>
    <w:r>
      <w:fldChar w:fldCharType="end"/>
    </w:r>
  </w:p>
  <w:p w:rsidR="00C04E89" w:rsidP="005D48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2A95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5037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8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482D"/>
    <w:pPr>
      <w:spacing w:before="360" w:after="60"/>
      <w:outlineLvl w:val="0"/>
    </w:pPr>
    <w:rPr>
      <w:sz w:val="32"/>
    </w:rPr>
  </w:style>
  <w:style w:type="paragraph" w:styleId="Heading2">
    <w:name w:val="heading 2"/>
    <w:basedOn w:val="HeadingBase"/>
    <w:next w:val="BodyText"/>
    <w:link w:val="Heading2Char"/>
    <w:qFormat/>
    <w:rsid w:val="005D482D"/>
    <w:pPr>
      <w:keepLines/>
      <w:spacing w:before="240" w:after="120"/>
      <w:outlineLvl w:val="1"/>
    </w:pPr>
    <w:rPr>
      <w:sz w:val="28"/>
      <w:szCs w:val="40"/>
    </w:rPr>
  </w:style>
  <w:style w:type="paragraph" w:styleId="Heading3">
    <w:name w:val="heading 3"/>
    <w:basedOn w:val="HeadingBase"/>
    <w:next w:val="BodyText"/>
    <w:link w:val="Heading3Char"/>
    <w:qFormat/>
    <w:rsid w:val="005D482D"/>
    <w:pPr>
      <w:spacing w:before="180" w:after="120"/>
      <w:outlineLvl w:val="2"/>
    </w:pPr>
    <w:rPr>
      <w:spacing w:val="-10"/>
      <w:kern w:val="32"/>
    </w:rPr>
  </w:style>
  <w:style w:type="paragraph" w:styleId="Heading4">
    <w:name w:val="heading 4"/>
    <w:basedOn w:val="HeadingBase"/>
    <w:next w:val="BodyText"/>
    <w:link w:val="Heading4Char"/>
    <w:qFormat/>
    <w:rsid w:val="005D482D"/>
    <w:pPr>
      <w:spacing w:before="160" w:after="120"/>
      <w:outlineLvl w:val="3"/>
    </w:pPr>
    <w:rPr>
      <w:sz w:val="22"/>
    </w:rPr>
  </w:style>
  <w:style w:type="paragraph" w:styleId="Heading5">
    <w:name w:val="heading 5"/>
    <w:basedOn w:val="HeadingBase"/>
    <w:next w:val="Normal"/>
    <w:link w:val="Heading5Char"/>
    <w:qFormat/>
    <w:rsid w:val="005D482D"/>
    <w:pPr>
      <w:spacing w:before="80"/>
      <w:outlineLvl w:val="4"/>
    </w:pPr>
    <w:rPr>
      <w:color w:val="918585"/>
      <w:sz w:val="20"/>
    </w:rPr>
  </w:style>
  <w:style w:type="paragraph" w:styleId="Heading6">
    <w:name w:val="heading 6"/>
    <w:basedOn w:val="HeadingBase"/>
    <w:next w:val="Normal"/>
    <w:link w:val="Heading6Char"/>
    <w:qFormat/>
    <w:rsid w:val="005D482D"/>
    <w:pPr>
      <w:spacing w:before="60"/>
      <w:outlineLvl w:val="5"/>
    </w:pPr>
    <w:rPr>
      <w:color w:val="918585"/>
      <w:sz w:val="20"/>
    </w:rPr>
  </w:style>
  <w:style w:type="paragraph" w:styleId="Heading7">
    <w:name w:val="heading 7"/>
    <w:basedOn w:val="Normal"/>
    <w:next w:val="Normal"/>
    <w:link w:val="Heading7Char"/>
    <w:qFormat/>
    <w:rsid w:val="005D482D"/>
    <w:pPr>
      <w:ind w:left="720"/>
      <w:outlineLvl w:val="6"/>
    </w:pPr>
    <w:rPr>
      <w:i/>
    </w:rPr>
  </w:style>
  <w:style w:type="paragraph" w:styleId="Heading8">
    <w:name w:val="heading 8"/>
    <w:basedOn w:val="Normal"/>
    <w:next w:val="Normal"/>
    <w:link w:val="Heading8Char"/>
    <w:qFormat/>
    <w:rsid w:val="005D482D"/>
    <w:pPr>
      <w:ind w:left="720"/>
      <w:outlineLvl w:val="7"/>
    </w:pPr>
    <w:rPr>
      <w:i/>
    </w:rPr>
  </w:style>
  <w:style w:type="paragraph" w:styleId="Heading9">
    <w:name w:val="heading 9"/>
    <w:basedOn w:val="Normal"/>
    <w:next w:val="Normal"/>
    <w:link w:val="Heading9Char"/>
    <w:qFormat/>
    <w:rsid w:val="005D482D"/>
    <w:pPr>
      <w:ind w:left="720"/>
      <w:outlineLvl w:val="8"/>
    </w:pPr>
    <w:rPr>
      <w:i/>
    </w:rPr>
  </w:style>
  <w:style w:type="character" w:default="1" w:styleId="DefaultParagraphFont">
    <w:name w:val="Default Paragraph Font"/>
    <w:uiPriority w:val="1"/>
    <w:unhideWhenUsed/>
    <w:rsid w:val="005D48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482D"/>
  </w:style>
  <w:style w:type="character" w:customStyle="1" w:styleId="Heading1Char">
    <w:name w:val="Heading 1 Char"/>
    <w:basedOn w:val="DefaultParagraphFont"/>
    <w:link w:val="Heading1"/>
    <w:rsid w:val="005D482D"/>
    <w:rPr>
      <w:rFonts w:ascii="Times New Roman" w:eastAsia="Times New Roman" w:hAnsi="Times New Roman" w:cs="Times New Roman"/>
      <w:b/>
      <w:sz w:val="32"/>
      <w:szCs w:val="20"/>
      <w:lang w:eastAsia="en-US"/>
    </w:rPr>
  </w:style>
  <w:style w:type="paragraph" w:styleId="BodyText">
    <w:name w:val="Body Text"/>
    <w:basedOn w:val="Normal"/>
    <w:link w:val="BodyTextChar"/>
    <w:rsid w:val="005D48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482D"/>
    <w:rPr>
      <w:rFonts w:ascii="Times New Roman" w:eastAsia="Times New Roman" w:hAnsi="Times New Roman" w:cs="Times New Roman"/>
      <w:sz w:val="24"/>
      <w:lang w:eastAsia="en-US"/>
    </w:rPr>
  </w:style>
  <w:style w:type="paragraph" w:styleId="Footer">
    <w:name w:val="footer"/>
    <w:basedOn w:val="Normal"/>
    <w:link w:val="FooterChar"/>
    <w:rsid w:val="005D48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482D"/>
    <w:rPr>
      <w:rFonts w:ascii="Times New Roman" w:eastAsia="Times New Roman" w:hAnsi="Times New Roman" w:cs="Times New Roman"/>
      <w:sz w:val="16"/>
      <w:lang w:eastAsia="en-US"/>
    </w:rPr>
  </w:style>
  <w:style w:type="paragraph" w:styleId="List">
    <w:name w:val="List"/>
    <w:basedOn w:val="BodyText"/>
    <w:next w:val="BodyText"/>
    <w:rsid w:val="005D482D"/>
    <w:pPr>
      <w:tabs>
        <w:tab w:val="left" w:pos="340"/>
      </w:tabs>
      <w:spacing w:before="60" w:after="60"/>
      <w:ind w:left="340" w:hanging="340"/>
    </w:pPr>
  </w:style>
  <w:style w:type="paragraph" w:styleId="ListBullet">
    <w:name w:val="List Bullet"/>
    <w:basedOn w:val="List"/>
    <w:rsid w:val="005D482D"/>
    <w:pPr>
      <w:numPr>
        <w:numId w:val="12"/>
      </w:numPr>
      <w:tabs>
        <w:tab w:val="clear" w:pos="340"/>
      </w:tabs>
      <w:spacing w:before="40" w:after="40"/>
    </w:pPr>
  </w:style>
  <w:style w:type="character" w:customStyle="1" w:styleId="SpecialBold">
    <w:name w:val="Special Bold"/>
    <w:basedOn w:val="DefaultParagraphFont"/>
    <w:rsid w:val="005D482D"/>
    <w:rPr>
      <w:b/>
      <w:spacing w:val="0"/>
    </w:rPr>
  </w:style>
  <w:style w:type="paragraph" w:customStyle="1" w:styleId="SuperHeading">
    <w:name w:val="SuperHeading"/>
    <w:basedOn w:val="Normal"/>
    <w:rsid w:val="005D482D"/>
    <w:pPr>
      <w:spacing w:before="240" w:after="120"/>
      <w:outlineLvl w:val="0"/>
    </w:pPr>
    <w:rPr>
      <w:rFonts w:ascii="Times New Roman" w:hAnsi="Times New Roman"/>
      <w:b/>
      <w:sz w:val="28"/>
    </w:rPr>
  </w:style>
  <w:style w:type="paragraph" w:customStyle="1" w:styleId="TableHeading">
    <w:name w:val="Table Heading"/>
    <w:basedOn w:val="HeadingBase"/>
    <w:rsid w:val="005D482D"/>
    <w:pPr>
      <w:keepLines/>
      <w:pBdr>
        <w:bottom w:val="single" w:sz="6" w:space="1" w:color="918585"/>
      </w:pBdr>
      <w:spacing w:before="240"/>
    </w:pPr>
  </w:style>
  <w:style w:type="paragraph" w:customStyle="1" w:styleId="AllowPageBreak">
    <w:name w:val="AllowPageBreak"/>
    <w:rsid w:val="005D48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D482D"/>
    <w:rPr>
      <w:b/>
      <w:i/>
      <w:u w:val="none"/>
    </w:rPr>
  </w:style>
  <w:style w:type="character" w:customStyle="1" w:styleId="Heading2Char">
    <w:name w:val="Heading 2 Char"/>
    <w:basedOn w:val="DefaultParagraphFont"/>
    <w:link w:val="Heading2"/>
    <w:rsid w:val="005D48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48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48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48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48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48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48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482D"/>
    <w:rPr>
      <w:rFonts w:ascii="Courier New" w:eastAsia="Times New Roman" w:hAnsi="Courier New" w:cs="Times New Roman"/>
      <w:i/>
      <w:szCs w:val="20"/>
      <w:lang w:eastAsia="en-US"/>
    </w:rPr>
  </w:style>
  <w:style w:type="paragraph" w:customStyle="1" w:styleId="HeadingBase">
    <w:name w:val="Heading Base"/>
    <w:rsid w:val="005D48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482D"/>
    <w:pPr>
      <w:tabs>
        <w:tab w:val="right" w:leader="dot" w:pos="9072"/>
      </w:tabs>
      <w:ind w:left="567"/>
    </w:pPr>
    <w:rPr>
      <w:szCs w:val="22"/>
    </w:rPr>
  </w:style>
  <w:style w:type="paragraph" w:customStyle="1" w:styleId="TOCBase">
    <w:name w:val="TOC Base"/>
    <w:rsid w:val="005D48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482D"/>
    <w:pPr>
      <w:tabs>
        <w:tab w:val="right" w:leader="dot" w:pos="9072"/>
      </w:tabs>
      <w:spacing w:before="40" w:after="40"/>
      <w:ind w:left="284"/>
    </w:pPr>
    <w:rPr>
      <w:rFonts w:ascii="Times New Roman" w:hAnsi="Times New Roman"/>
    </w:rPr>
  </w:style>
  <w:style w:type="paragraph" w:styleId="TOC1">
    <w:name w:val="toc 1"/>
    <w:basedOn w:val="TOCBase"/>
    <w:next w:val="Normal"/>
    <w:rsid w:val="005D48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482D"/>
    <w:pPr>
      <w:spacing w:before="5040"/>
      <w:jc w:val="center"/>
    </w:pPr>
    <w:rPr>
      <w:sz w:val="48"/>
      <w:szCs w:val="72"/>
      <w:lang w:val="en-US"/>
    </w:rPr>
  </w:style>
  <w:style w:type="character" w:customStyle="1" w:styleId="TitleChar">
    <w:name w:val="Title Char"/>
    <w:basedOn w:val="DefaultParagraphFont"/>
    <w:link w:val="Title"/>
    <w:rsid w:val="005D48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482D"/>
    <w:pPr>
      <w:tabs>
        <w:tab w:val="left" w:pos="3600"/>
        <w:tab w:val="left" w:pos="3958"/>
      </w:tabs>
    </w:pPr>
  </w:style>
  <w:style w:type="paragraph" w:customStyle="1" w:styleId="Note">
    <w:name w:val="Note"/>
    <w:basedOn w:val="BodyText"/>
    <w:rsid w:val="005D48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482D"/>
    <w:pPr>
      <w:framePr w:wrap="auto" w:hAnchor="text" w:y="6049"/>
    </w:pPr>
    <w:rPr>
      <w:color w:val="000000"/>
      <w:sz w:val="40"/>
    </w:rPr>
  </w:style>
  <w:style w:type="paragraph" w:customStyle="1" w:styleId="TOCTitle">
    <w:name w:val="TOCTitle"/>
    <w:basedOn w:val="Heading1"/>
    <w:rsid w:val="005D482D"/>
    <w:pPr>
      <w:spacing w:after="240"/>
      <w:jc w:val="center"/>
      <w:outlineLvl w:val="9"/>
    </w:pPr>
    <w:rPr>
      <w:caps/>
    </w:rPr>
  </w:style>
  <w:style w:type="paragraph" w:customStyle="1" w:styleId="Version">
    <w:name w:val="Version"/>
    <w:rsid w:val="005D48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482D"/>
    <w:pPr>
      <w:numPr>
        <w:numId w:val="13"/>
      </w:numPr>
      <w:tabs>
        <w:tab w:val="clear" w:pos="680"/>
      </w:tabs>
    </w:pPr>
  </w:style>
  <w:style w:type="paragraph" w:styleId="Index1">
    <w:name w:val="index 1"/>
    <w:basedOn w:val="Normal"/>
    <w:next w:val="Normal"/>
    <w:semiHidden/>
    <w:rsid w:val="005D482D"/>
    <w:pPr>
      <w:keepNext w:val="0"/>
      <w:tabs>
        <w:tab w:val="right" w:pos="4176"/>
      </w:tabs>
      <w:ind w:left="198" w:hanging="198"/>
    </w:pPr>
    <w:rPr>
      <w:rFonts w:ascii="Garamond" w:hAnsi="Garamond"/>
    </w:rPr>
  </w:style>
  <w:style w:type="paragraph" w:styleId="IndexHeading">
    <w:name w:val="index heading"/>
    <w:basedOn w:val="Normal"/>
    <w:next w:val="Index1"/>
    <w:semiHidden/>
    <w:rsid w:val="005D482D"/>
    <w:pPr>
      <w:spacing w:before="120" w:after="120"/>
    </w:pPr>
    <w:rPr>
      <w:rFonts w:ascii="Arial" w:hAnsi="Arial"/>
      <w:b/>
      <w:color w:val="918585"/>
      <w:sz w:val="24"/>
    </w:rPr>
  </w:style>
  <w:style w:type="paragraph" w:styleId="Header">
    <w:name w:val="header"/>
    <w:basedOn w:val="Normal"/>
    <w:link w:val="HeaderChar"/>
    <w:rsid w:val="005D48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482D"/>
    <w:rPr>
      <w:rFonts w:ascii="Times New Roman" w:eastAsia="Times New Roman" w:hAnsi="Times New Roman" w:cs="Times New Roman"/>
      <w:sz w:val="16"/>
      <w:szCs w:val="20"/>
      <w:lang w:val="en-GB" w:eastAsia="en-US"/>
    </w:rPr>
  </w:style>
  <w:style w:type="paragraph" w:customStyle="1" w:styleId="Chapter">
    <w:name w:val="Chapter"/>
    <w:basedOn w:val="Normal"/>
    <w:rsid w:val="005D482D"/>
    <w:pPr>
      <w:spacing w:before="240"/>
    </w:pPr>
    <w:rPr>
      <w:rFonts w:ascii="Times New Roman" w:hAnsi="Times New Roman"/>
      <w:smallCaps/>
      <w:spacing w:val="80"/>
      <w:sz w:val="28"/>
    </w:rPr>
  </w:style>
  <w:style w:type="paragraph" w:customStyle="1" w:styleId="InChapter">
    <w:name w:val="InChapter"/>
    <w:basedOn w:val="Heading3"/>
    <w:rsid w:val="005D482D"/>
    <w:pPr>
      <w:spacing w:after="240"/>
      <w:outlineLvl w:val="9"/>
    </w:pPr>
    <w:rPr>
      <w:noProof/>
    </w:rPr>
  </w:style>
  <w:style w:type="paragraph" w:styleId="Index2">
    <w:name w:val="index 2"/>
    <w:basedOn w:val="Normal"/>
    <w:next w:val="Normal"/>
    <w:semiHidden/>
    <w:rsid w:val="005D482D"/>
    <w:pPr>
      <w:tabs>
        <w:tab w:val="right" w:pos="4176"/>
      </w:tabs>
      <w:ind w:left="568" w:hanging="284"/>
    </w:pPr>
    <w:rPr>
      <w:rFonts w:ascii="Garamond" w:hAnsi="Garamond"/>
    </w:rPr>
  </w:style>
  <w:style w:type="paragraph" w:customStyle="1" w:styleId="Byline">
    <w:name w:val="Byline"/>
    <w:rsid w:val="005D48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482D"/>
    <w:pPr>
      <w:tabs>
        <w:tab w:val="clear" w:pos="3600"/>
        <w:tab w:val="clear" w:pos="3958"/>
      </w:tabs>
      <w:jc w:val="right"/>
    </w:pPr>
  </w:style>
  <w:style w:type="character" w:styleId="Emphasis">
    <w:name w:val="Emphasis"/>
    <w:basedOn w:val="DefaultParagraphFont"/>
    <w:qFormat/>
    <w:rsid w:val="005D482D"/>
    <w:rPr>
      <w:i/>
    </w:rPr>
  </w:style>
  <w:style w:type="paragraph" w:styleId="Caption">
    <w:name w:val="caption"/>
    <w:basedOn w:val="BodyText"/>
    <w:next w:val="Normal"/>
    <w:qFormat/>
    <w:rsid w:val="005D482D"/>
    <w:pPr>
      <w:framePr w:w="2268" w:hSpace="181" w:vSpace="181" w:wrap="around" w:vAnchor="text" w:hAnchor="page" w:x="1135" w:y="285" w:anchorLock="1"/>
    </w:pPr>
    <w:rPr>
      <w:i/>
    </w:rPr>
  </w:style>
  <w:style w:type="paragraph" w:customStyle="1" w:styleId="MiniTOCTitle">
    <w:name w:val="MiniTOCTitle"/>
    <w:basedOn w:val="Heading4"/>
    <w:rsid w:val="005D482D"/>
    <w:pPr>
      <w:spacing w:before="240"/>
      <w:outlineLvl w:val="9"/>
    </w:pPr>
    <w:rPr>
      <w:noProof/>
      <w:sz w:val="24"/>
    </w:rPr>
  </w:style>
  <w:style w:type="paragraph" w:customStyle="1" w:styleId="MiniTOCItem">
    <w:name w:val="MiniTOCItem"/>
    <w:basedOn w:val="ListBullet"/>
    <w:rsid w:val="005D482D"/>
    <w:pPr>
      <w:numPr>
        <w:numId w:val="0"/>
      </w:numPr>
      <w:tabs>
        <w:tab w:val="right" w:leader="dot" w:pos="6521"/>
      </w:tabs>
      <w:spacing w:before="0" w:after="0"/>
    </w:pPr>
  </w:style>
  <w:style w:type="paragraph" w:customStyle="1" w:styleId="TOFTitle">
    <w:name w:val="TOFTitle"/>
    <w:basedOn w:val="TOCTitle"/>
    <w:rsid w:val="005D482D"/>
  </w:style>
  <w:style w:type="paragraph" w:styleId="TableofFigures">
    <w:name w:val="table of figures"/>
    <w:basedOn w:val="Normal"/>
    <w:next w:val="Normal"/>
    <w:semiHidden/>
    <w:rsid w:val="005D482D"/>
    <w:pPr>
      <w:tabs>
        <w:tab w:val="right" w:leader="dot" w:pos="9072"/>
      </w:tabs>
      <w:ind w:left="970" w:hanging="403"/>
    </w:pPr>
    <w:rPr>
      <w:rFonts w:ascii="Times New Roman" w:hAnsi="Times New Roman"/>
      <w:b/>
    </w:rPr>
  </w:style>
  <w:style w:type="paragraph" w:styleId="ListNumber">
    <w:name w:val="List Number"/>
    <w:basedOn w:val="List"/>
    <w:rsid w:val="005D482D"/>
    <w:pPr>
      <w:numPr>
        <w:numId w:val="10"/>
      </w:numPr>
    </w:pPr>
  </w:style>
  <w:style w:type="character" w:customStyle="1" w:styleId="WingdingSymbols">
    <w:name w:val="Wingding Symbols"/>
    <w:rsid w:val="005D482D"/>
    <w:rPr>
      <w:rFonts w:ascii="Wingdings" w:hAnsi="Wingdings"/>
    </w:rPr>
  </w:style>
  <w:style w:type="character" w:customStyle="1" w:styleId="HotSpot">
    <w:name w:val="HotSpot"/>
    <w:rsid w:val="005D482D"/>
    <w:rPr>
      <w:color w:val="0033CC"/>
      <w:u w:val="none"/>
    </w:rPr>
  </w:style>
  <w:style w:type="paragraph" w:customStyle="1" w:styleId="BodyTextRight">
    <w:name w:val="Body Text Right"/>
    <w:basedOn w:val="BodyText"/>
    <w:rsid w:val="005D482D"/>
    <w:pPr>
      <w:spacing w:before="0" w:after="0"/>
      <w:jc w:val="right"/>
    </w:pPr>
  </w:style>
  <w:style w:type="paragraph" w:styleId="Index3">
    <w:name w:val="index 3"/>
    <w:basedOn w:val="ListNumber2"/>
    <w:next w:val="Normal"/>
    <w:semiHidden/>
    <w:rsid w:val="005D482D"/>
    <w:pPr>
      <w:numPr>
        <w:numId w:val="0"/>
      </w:numPr>
      <w:tabs>
        <w:tab w:val="right" w:leader="dot" w:pos="4176"/>
      </w:tabs>
    </w:pPr>
  </w:style>
  <w:style w:type="paragraph" w:styleId="ListNumber2">
    <w:name w:val="List Number 2"/>
    <w:basedOn w:val="List2"/>
    <w:rsid w:val="005D482D"/>
    <w:pPr>
      <w:numPr>
        <w:numId w:val="9"/>
      </w:numPr>
      <w:tabs>
        <w:tab w:val="clear" w:pos="1060"/>
      </w:tabs>
    </w:pPr>
  </w:style>
  <w:style w:type="paragraph" w:customStyle="1" w:styleId="MarginNote">
    <w:name w:val="Margin Note"/>
    <w:basedOn w:val="BodyText"/>
    <w:rsid w:val="005D48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48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48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482D"/>
    <w:rPr>
      <w:sz w:val="32"/>
    </w:rPr>
  </w:style>
  <w:style w:type="paragraph" w:customStyle="1" w:styleId="HeadingProcedure">
    <w:name w:val="Heading Procedure"/>
    <w:basedOn w:val="HeadingBase"/>
    <w:next w:val="Normal"/>
    <w:rsid w:val="005D482D"/>
    <w:pPr>
      <w:tabs>
        <w:tab w:val="left" w:pos="0"/>
      </w:tabs>
      <w:spacing w:before="120" w:after="60"/>
    </w:pPr>
    <w:rPr>
      <w:i/>
      <w:color w:val="918585"/>
      <w:sz w:val="22"/>
    </w:rPr>
  </w:style>
  <w:style w:type="paragraph" w:customStyle="1" w:styleId="TableBodyText">
    <w:name w:val="Table Body Text"/>
    <w:basedOn w:val="BodyText"/>
    <w:rsid w:val="005D482D"/>
    <w:pPr>
      <w:spacing w:before="60" w:after="60"/>
    </w:pPr>
  </w:style>
  <w:style w:type="paragraph" w:styleId="ListContinue">
    <w:name w:val="List Continue"/>
    <w:basedOn w:val="List"/>
    <w:rsid w:val="005D482D"/>
    <w:pPr>
      <w:ind w:firstLine="0"/>
    </w:pPr>
  </w:style>
  <w:style w:type="paragraph" w:customStyle="1" w:styleId="ListNote">
    <w:name w:val="List Note"/>
    <w:basedOn w:val="List"/>
    <w:rsid w:val="005D482D"/>
    <w:pPr>
      <w:pBdr>
        <w:top w:val="single" w:sz="6" w:space="2" w:color="918585"/>
        <w:bottom w:val="single" w:sz="6" w:space="2" w:color="918585"/>
      </w:pBdr>
      <w:tabs>
        <w:tab w:val="left" w:pos="1021"/>
      </w:tabs>
      <w:ind w:firstLine="0"/>
    </w:pPr>
  </w:style>
  <w:style w:type="paragraph" w:customStyle="1" w:styleId="Warning">
    <w:name w:val="Warning"/>
    <w:basedOn w:val="BodyText"/>
    <w:rsid w:val="005D482D"/>
    <w:pPr>
      <w:shd w:val="clear" w:color="auto" w:fill="D9D9D9"/>
      <w:tabs>
        <w:tab w:val="left" w:pos="992"/>
      </w:tabs>
      <w:ind w:left="119" w:right="119"/>
    </w:pPr>
    <w:rPr>
      <w:sz w:val="20"/>
    </w:rPr>
  </w:style>
  <w:style w:type="paragraph" w:customStyle="1" w:styleId="MarginIcons">
    <w:name w:val="Margin Icons"/>
    <w:basedOn w:val="BodyText"/>
    <w:rsid w:val="005D48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482D"/>
    <w:rPr>
      <w:rFonts w:ascii="Courier New" w:hAnsi="Courier New"/>
    </w:rPr>
  </w:style>
  <w:style w:type="paragraph" w:customStyle="1" w:styleId="NoteBullet">
    <w:name w:val="Note Bullet"/>
    <w:basedOn w:val="Note"/>
    <w:rsid w:val="005D482D"/>
    <w:pPr>
      <w:tabs>
        <w:tab w:val="clear" w:pos="680"/>
      </w:tabs>
      <w:spacing w:before="60" w:after="60"/>
    </w:pPr>
  </w:style>
  <w:style w:type="paragraph" w:customStyle="1" w:styleId="SubHeading2">
    <w:name w:val="SubHeading2"/>
    <w:basedOn w:val="HeadingBase"/>
    <w:rsid w:val="005D482D"/>
    <w:pPr>
      <w:spacing w:before="240" w:after="60"/>
    </w:pPr>
    <w:rPr>
      <w:sz w:val="20"/>
    </w:rPr>
  </w:style>
  <w:style w:type="paragraph" w:customStyle="1" w:styleId="SubHeading1">
    <w:name w:val="SubHeading1"/>
    <w:basedOn w:val="HeadingBase"/>
    <w:rsid w:val="005D482D"/>
    <w:pPr>
      <w:spacing w:before="240" w:after="60"/>
    </w:pPr>
    <w:rPr>
      <w:color w:val="918585"/>
      <w:sz w:val="22"/>
    </w:rPr>
  </w:style>
  <w:style w:type="paragraph" w:customStyle="1" w:styleId="SideHeading">
    <w:name w:val="Side Heading"/>
    <w:basedOn w:val="HeadingBase"/>
    <w:rsid w:val="005D48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482D"/>
    <w:pPr>
      <w:tabs>
        <w:tab w:val="num" w:pos="360"/>
      </w:tabs>
    </w:pPr>
  </w:style>
  <w:style w:type="paragraph" w:styleId="PlainText">
    <w:name w:val="Plain Text"/>
    <w:basedOn w:val="Normal"/>
    <w:link w:val="PlainTextChar"/>
    <w:rsid w:val="005D482D"/>
    <w:rPr>
      <w:sz w:val="20"/>
    </w:rPr>
  </w:style>
  <w:style w:type="character" w:customStyle="1" w:styleId="PlainTextChar">
    <w:name w:val="Plain Text Char"/>
    <w:basedOn w:val="DefaultParagraphFont"/>
    <w:link w:val="PlainText"/>
    <w:rsid w:val="005D482D"/>
    <w:rPr>
      <w:rFonts w:ascii="Courier New" w:eastAsia="Times New Roman" w:hAnsi="Courier New" w:cs="Times New Roman"/>
      <w:sz w:val="20"/>
      <w:szCs w:val="20"/>
      <w:lang w:eastAsia="en-US"/>
    </w:rPr>
  </w:style>
  <w:style w:type="character" w:customStyle="1" w:styleId="MenuOption">
    <w:name w:val="Menu Option"/>
    <w:basedOn w:val="DefaultParagraphFont"/>
    <w:rsid w:val="005D482D"/>
    <w:rPr>
      <w:b/>
      <w:smallCaps/>
    </w:rPr>
  </w:style>
  <w:style w:type="paragraph" w:customStyle="1" w:styleId="TableListNumber">
    <w:name w:val="Table List Number"/>
    <w:basedOn w:val="ListNumber"/>
    <w:rsid w:val="005D482D"/>
    <w:pPr>
      <w:numPr>
        <w:numId w:val="0"/>
      </w:numPr>
    </w:pPr>
  </w:style>
  <w:style w:type="paragraph" w:styleId="TOC4">
    <w:name w:val="toc 4"/>
    <w:basedOn w:val="TOCBase"/>
    <w:next w:val="Normal"/>
    <w:semiHidden/>
    <w:rsid w:val="005D482D"/>
    <w:pPr>
      <w:tabs>
        <w:tab w:val="right" w:leader="dot" w:pos="9071"/>
      </w:tabs>
      <w:ind w:left="1701"/>
    </w:pPr>
  </w:style>
  <w:style w:type="paragraph" w:customStyle="1" w:styleId="ListAlpha">
    <w:name w:val="List Alpha"/>
    <w:basedOn w:val="List"/>
    <w:rsid w:val="005D482D"/>
    <w:pPr>
      <w:numPr>
        <w:numId w:val="8"/>
      </w:numPr>
    </w:pPr>
  </w:style>
  <w:style w:type="paragraph" w:customStyle="1" w:styleId="ListAlpha2">
    <w:name w:val="List Alpha 2"/>
    <w:basedOn w:val="List2"/>
    <w:rsid w:val="005D482D"/>
    <w:pPr>
      <w:numPr>
        <w:numId w:val="7"/>
      </w:numPr>
    </w:pPr>
  </w:style>
  <w:style w:type="paragraph" w:styleId="List2">
    <w:name w:val="List 2"/>
    <w:basedOn w:val="BodyText"/>
    <w:rsid w:val="005D482D"/>
    <w:pPr>
      <w:tabs>
        <w:tab w:val="left" w:pos="680"/>
      </w:tabs>
      <w:spacing w:before="60" w:after="60"/>
      <w:ind w:left="680" w:hanging="340"/>
    </w:pPr>
  </w:style>
  <w:style w:type="paragraph" w:styleId="List3">
    <w:name w:val="List 3"/>
    <w:basedOn w:val="BodyText"/>
    <w:rsid w:val="005D482D"/>
    <w:pPr>
      <w:tabs>
        <w:tab w:val="left" w:pos="1021"/>
      </w:tabs>
      <w:spacing w:before="60" w:after="60"/>
      <w:ind w:left="1020" w:hanging="340"/>
    </w:pPr>
  </w:style>
  <w:style w:type="paragraph" w:styleId="List4">
    <w:name w:val="List 4"/>
    <w:basedOn w:val="BodyText"/>
    <w:rsid w:val="005D482D"/>
    <w:pPr>
      <w:tabs>
        <w:tab w:val="left" w:pos="1361"/>
      </w:tabs>
      <w:spacing w:before="60" w:after="60"/>
      <w:ind w:left="1361" w:hanging="340"/>
    </w:pPr>
  </w:style>
  <w:style w:type="paragraph" w:styleId="List5">
    <w:name w:val="List 5"/>
    <w:basedOn w:val="BodyText"/>
    <w:rsid w:val="005D482D"/>
    <w:pPr>
      <w:tabs>
        <w:tab w:val="left" w:pos="1701"/>
      </w:tabs>
      <w:spacing w:before="60" w:after="60"/>
      <w:ind w:left="1701" w:hanging="340"/>
    </w:pPr>
  </w:style>
  <w:style w:type="paragraph" w:styleId="ListBullet3">
    <w:name w:val="List Bullet 3"/>
    <w:basedOn w:val="List3"/>
    <w:rsid w:val="005D482D"/>
    <w:pPr>
      <w:numPr>
        <w:numId w:val="14"/>
      </w:numPr>
      <w:tabs>
        <w:tab w:val="clear" w:pos="1021"/>
      </w:tabs>
      <w:ind w:left="1037" w:hanging="357"/>
    </w:pPr>
  </w:style>
  <w:style w:type="paragraph" w:styleId="ListBullet4">
    <w:name w:val="List Bullet 4"/>
    <w:basedOn w:val="List4"/>
    <w:rsid w:val="005D482D"/>
    <w:pPr>
      <w:numPr>
        <w:numId w:val="2"/>
      </w:numPr>
    </w:pPr>
  </w:style>
  <w:style w:type="paragraph" w:styleId="ListBullet5">
    <w:name w:val="List Bullet 5"/>
    <w:basedOn w:val="List5"/>
    <w:rsid w:val="005D482D"/>
    <w:pPr>
      <w:numPr>
        <w:numId w:val="3"/>
      </w:numPr>
    </w:pPr>
  </w:style>
  <w:style w:type="paragraph" w:styleId="ListContinue2">
    <w:name w:val="List Continue 2"/>
    <w:basedOn w:val="List2"/>
    <w:rsid w:val="005D482D"/>
    <w:pPr>
      <w:ind w:firstLine="0"/>
    </w:pPr>
  </w:style>
  <w:style w:type="paragraph" w:styleId="ListContinue3">
    <w:name w:val="List Continue 3"/>
    <w:basedOn w:val="List3"/>
    <w:rsid w:val="005D482D"/>
    <w:pPr>
      <w:ind w:left="1021" w:firstLine="0"/>
    </w:pPr>
  </w:style>
  <w:style w:type="paragraph" w:styleId="ListContinue4">
    <w:name w:val="List Continue 4"/>
    <w:basedOn w:val="List4"/>
    <w:rsid w:val="005D482D"/>
    <w:pPr>
      <w:ind w:firstLine="0"/>
    </w:pPr>
  </w:style>
  <w:style w:type="paragraph" w:styleId="ListContinue5">
    <w:name w:val="List Continue 5"/>
    <w:basedOn w:val="List5"/>
    <w:rsid w:val="005D482D"/>
    <w:pPr>
      <w:ind w:firstLine="0"/>
    </w:pPr>
  </w:style>
  <w:style w:type="paragraph" w:styleId="ListNumber3">
    <w:name w:val="List Number 3"/>
    <w:basedOn w:val="List3"/>
    <w:rsid w:val="005D482D"/>
    <w:pPr>
      <w:numPr>
        <w:numId w:val="4"/>
      </w:numPr>
    </w:pPr>
  </w:style>
  <w:style w:type="paragraph" w:styleId="ListNumber4">
    <w:name w:val="List Number 4"/>
    <w:basedOn w:val="List4"/>
    <w:rsid w:val="005D482D"/>
    <w:pPr>
      <w:numPr>
        <w:numId w:val="5"/>
      </w:numPr>
    </w:pPr>
  </w:style>
  <w:style w:type="paragraph" w:styleId="ListNumber5">
    <w:name w:val="List Number 5"/>
    <w:basedOn w:val="List5"/>
    <w:rsid w:val="005D482D"/>
    <w:pPr>
      <w:numPr>
        <w:numId w:val="6"/>
      </w:numPr>
    </w:pPr>
  </w:style>
  <w:style w:type="paragraph" w:styleId="BlockText">
    <w:name w:val="Block Text"/>
    <w:basedOn w:val="Normal"/>
    <w:rsid w:val="005D482D"/>
    <w:pPr>
      <w:spacing w:after="120"/>
      <w:ind w:left="1440" w:right="1440"/>
    </w:pPr>
  </w:style>
  <w:style w:type="character" w:customStyle="1" w:styleId="Subscript">
    <w:name w:val="Subscript"/>
    <w:basedOn w:val="DefaultParagraphFont"/>
    <w:rsid w:val="005D482D"/>
    <w:rPr>
      <w:sz w:val="16"/>
      <w:vertAlign w:val="subscript"/>
    </w:rPr>
  </w:style>
  <w:style w:type="character" w:customStyle="1" w:styleId="Superscript">
    <w:name w:val="Superscript"/>
    <w:basedOn w:val="DefaultParagraphFont"/>
    <w:rsid w:val="005D482D"/>
    <w:rPr>
      <w:sz w:val="16"/>
      <w:vertAlign w:val="superscript"/>
    </w:rPr>
  </w:style>
  <w:style w:type="character" w:customStyle="1" w:styleId="Symbols">
    <w:name w:val="Symbols"/>
    <w:basedOn w:val="DefaultParagraphFont"/>
    <w:rsid w:val="005D482D"/>
    <w:rPr>
      <w:rFonts w:ascii="Symbol" w:hAnsi="Symbol"/>
    </w:rPr>
  </w:style>
  <w:style w:type="character" w:customStyle="1" w:styleId="MenuOptions">
    <w:name w:val="Menu Options"/>
    <w:basedOn w:val="DefaultParagraphFont"/>
    <w:rsid w:val="005D482D"/>
    <w:rPr>
      <w:rFonts w:ascii="Arial Narrow" w:hAnsi="Arial Narrow"/>
      <w:smallCaps/>
    </w:rPr>
  </w:style>
  <w:style w:type="character" w:customStyle="1" w:styleId="Buttons">
    <w:name w:val="Buttons"/>
    <w:basedOn w:val="DefaultParagraphFont"/>
    <w:rsid w:val="005D482D"/>
    <w:rPr>
      <w:b/>
    </w:rPr>
  </w:style>
  <w:style w:type="character" w:customStyle="1" w:styleId="Underlined">
    <w:name w:val="Underlined"/>
    <w:basedOn w:val="DefaultParagraphFont"/>
    <w:rsid w:val="005D482D"/>
    <w:rPr>
      <w:u w:val="single"/>
    </w:rPr>
  </w:style>
  <w:style w:type="paragraph" w:customStyle="1" w:styleId="TableBodyTextRight">
    <w:name w:val="Table Body Text Right"/>
    <w:basedOn w:val="TableBodyText"/>
    <w:rsid w:val="005D482D"/>
    <w:pPr>
      <w:widowControl w:val="0"/>
      <w:autoSpaceDE w:val="0"/>
      <w:autoSpaceDN w:val="0"/>
      <w:adjustRightInd w:val="0"/>
      <w:jc w:val="right"/>
    </w:pPr>
    <w:rPr>
      <w:rFonts w:cs="Arial"/>
      <w:szCs w:val="18"/>
    </w:rPr>
  </w:style>
  <w:style w:type="paragraph" w:customStyle="1" w:styleId="CopyrightText">
    <w:name w:val="Copyright Text"/>
    <w:basedOn w:val="BodyText"/>
    <w:rsid w:val="005D482D"/>
    <w:rPr>
      <w:sz w:val="18"/>
    </w:rPr>
  </w:style>
  <w:style w:type="paragraph" w:customStyle="1" w:styleId="BodySmallRight">
    <w:name w:val="Body Small Right"/>
    <w:basedOn w:val="BodyTextRight"/>
    <w:rsid w:val="005D482D"/>
    <w:rPr>
      <w:sz w:val="18"/>
      <w:szCs w:val="18"/>
    </w:rPr>
  </w:style>
  <w:style w:type="paragraph" w:customStyle="1" w:styleId="MarginEdition">
    <w:name w:val="Margin Edition"/>
    <w:basedOn w:val="MarginNote"/>
    <w:rsid w:val="005D482D"/>
    <w:pPr>
      <w:spacing w:before="0" w:after="0"/>
    </w:pPr>
    <w:rPr>
      <w:rFonts w:ascii="Times New Roman" w:hAnsi="Times New Roman"/>
      <w:color w:val="999999"/>
    </w:rPr>
  </w:style>
  <w:style w:type="paragraph" w:customStyle="1" w:styleId="Spacer">
    <w:name w:val="Spacer"/>
    <w:basedOn w:val="Normal"/>
    <w:rsid w:val="005D482D"/>
    <w:rPr>
      <w:sz w:val="2"/>
      <w:szCs w:val="2"/>
    </w:rPr>
  </w:style>
  <w:style w:type="character" w:customStyle="1" w:styleId="Small">
    <w:name w:val="Small"/>
    <w:basedOn w:val="DefaultParagraphFont"/>
    <w:rsid w:val="005D482D"/>
    <w:rPr>
      <w:sz w:val="16"/>
    </w:rPr>
  </w:style>
  <w:style w:type="paragraph" w:customStyle="1" w:styleId="WideTable">
    <w:name w:val="Wide Table"/>
    <w:basedOn w:val="Normal"/>
    <w:rsid w:val="005D482D"/>
    <w:pPr>
      <w:ind w:left="-1418"/>
    </w:pPr>
    <w:rPr>
      <w:sz w:val="2"/>
      <w:szCs w:val="2"/>
    </w:rPr>
  </w:style>
  <w:style w:type="character" w:styleId="PageNumber">
    <w:name w:val="page number"/>
    <w:basedOn w:val="DefaultParagraphFont"/>
    <w:rsid w:val="005D482D"/>
  </w:style>
  <w:style w:type="paragraph" w:styleId="Quote">
    <w:name w:val="Quote"/>
    <w:basedOn w:val="Heading1"/>
    <w:link w:val="QuoteChar"/>
    <w:qFormat/>
    <w:rsid w:val="005D482D"/>
    <w:rPr>
      <w:b w:val="0"/>
      <w:sz w:val="72"/>
      <w:szCs w:val="72"/>
      <w:lang w:val="en-NZ"/>
    </w:rPr>
  </w:style>
  <w:style w:type="character" w:customStyle="1" w:styleId="QuoteChar">
    <w:name w:val="Quote Char"/>
    <w:basedOn w:val="DefaultParagraphFont"/>
    <w:link w:val="Quote"/>
    <w:rsid w:val="005D48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482D"/>
    <w:pPr>
      <w:pageBreakBefore/>
    </w:pPr>
  </w:style>
  <w:style w:type="paragraph" w:customStyle="1" w:styleId="Border">
    <w:name w:val="Border"/>
    <w:basedOn w:val="Normal"/>
    <w:qFormat/>
    <w:rsid w:val="005D48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482D"/>
    <w:rPr>
      <w:b/>
      <w:bCs/>
      <w:i/>
      <w:iCs/>
      <w:color w:val="auto"/>
    </w:rPr>
  </w:style>
  <w:style w:type="paragraph" w:styleId="IntenseQuote">
    <w:name w:val="Intense Quote"/>
    <w:basedOn w:val="Normal"/>
    <w:next w:val="Normal"/>
    <w:link w:val="IntenseQuoteChar"/>
    <w:uiPriority w:val="30"/>
    <w:qFormat/>
    <w:rsid w:val="005D48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48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482D"/>
    <w:rPr>
      <w:smallCaps/>
      <w:color w:val="auto"/>
      <w:u w:val="single"/>
    </w:rPr>
  </w:style>
  <w:style w:type="character" w:styleId="IntenseReference">
    <w:name w:val="Intense Reference"/>
    <w:basedOn w:val="DefaultParagraphFont"/>
    <w:uiPriority w:val="32"/>
    <w:qFormat/>
    <w:rsid w:val="005D482D"/>
    <w:rPr>
      <w:b/>
      <w:bCs/>
      <w:smallCaps/>
      <w:color w:val="auto"/>
      <w:spacing w:val="5"/>
      <w:u w:val="single"/>
    </w:rPr>
  </w:style>
  <w:style w:type="paragraph" w:customStyle="1" w:styleId="2ColumnHeading">
    <w:name w:val="2Column Heading"/>
    <w:basedOn w:val="BodyText"/>
    <w:qFormat/>
    <w:rsid w:val="005D482D"/>
    <w:pPr>
      <w:spacing w:after="60"/>
      <w:ind w:left="-2268"/>
    </w:pPr>
    <w:rPr>
      <w:b/>
    </w:rPr>
  </w:style>
  <w:style w:type="paragraph" w:customStyle="1" w:styleId="Heading1TOC">
    <w:name w:val="Heading1 TOC"/>
    <w:basedOn w:val="Normal"/>
    <w:qFormat/>
    <w:rsid w:val="005D482D"/>
    <w:pPr>
      <w:spacing w:before="240" w:after="120"/>
    </w:pPr>
    <w:rPr>
      <w:rFonts w:ascii="Times New Roman" w:hAnsi="Times New Roman"/>
      <w:b/>
      <w:sz w:val="32"/>
    </w:rPr>
  </w:style>
  <w:style w:type="paragraph" w:customStyle="1" w:styleId="Heading2TOC">
    <w:name w:val="Heading2 TOC"/>
    <w:basedOn w:val="Normal"/>
    <w:qFormat/>
    <w:rsid w:val="005D482D"/>
    <w:pPr>
      <w:spacing w:before="240" w:after="60"/>
    </w:pPr>
    <w:rPr>
      <w:rFonts w:ascii="Times New Roman" w:hAnsi="Times New Roman"/>
      <w:b/>
      <w:sz w:val="28"/>
    </w:rPr>
  </w:style>
  <w:style w:type="character" w:customStyle="1" w:styleId="Underline">
    <w:name w:val="Underline"/>
    <w:basedOn w:val="DefaultParagraphFont"/>
    <w:qFormat/>
    <w:rsid w:val="005D482D"/>
    <w:rPr>
      <w:u w:val="single"/>
    </w:rPr>
  </w:style>
  <w:style w:type="paragraph" w:styleId="BalloonText">
    <w:name w:val="Balloon Text"/>
    <w:basedOn w:val="Normal"/>
    <w:link w:val="BalloonTextChar"/>
    <w:rsid w:val="005D482D"/>
    <w:rPr>
      <w:rFonts w:ascii="Tahoma" w:hAnsi="Tahoma" w:cs="Tahoma"/>
      <w:sz w:val="16"/>
      <w:szCs w:val="16"/>
    </w:rPr>
  </w:style>
  <w:style w:type="character" w:customStyle="1" w:styleId="BalloonTextChar">
    <w:name w:val="Balloon Text Char"/>
    <w:basedOn w:val="DefaultParagraphFont"/>
    <w:link w:val="BalloonText"/>
    <w:rsid w:val="005D48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48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48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482D"/>
    <w:rPr>
      <w:b/>
      <w:color w:val="660033"/>
      <w:spacing w:val="0"/>
    </w:rPr>
  </w:style>
  <w:style w:type="paragraph" w:customStyle="1" w:styleId="Nameditemlist">
    <w:name w:val="Named item list"/>
    <w:basedOn w:val="BodyText"/>
    <w:qFormat/>
    <w:rsid w:val="005D48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1234</Words>
  <Characters>7848</Characters>
  <Application>Microsoft Office Word</Application>
  <DocSecurity>0</DocSecurity>
  <Lines>250</Lines>
  <Paragraphs>145</Paragraphs>
  <ScaleCrop>false</ScaleCrop>
  <Company>Author-it Software Corporation Ltd.</Company>
  <LinksUpToDate>false</LinksUpToDate>
  <CharactersWithSpaces>9008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MTMP3005A Monitor the effective operations of electrical stimulation</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2012-11-09T05:10:00Z</dcterms:created>
  <dcterms:modified xsi:type="dcterms:W3CDTF">2012-11-09T05:10:00Z</dcterms:modified>
</cp:coreProperties>
</file>