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7E7" w:rsidP="00D047E7">
      <w:pPr>
        <w:pStyle w:val="Title"/>
      </w:pPr>
      <w:r>
        <w:fldChar w:fldCharType="begin"/>
      </w:r>
      <w:r>
        <w:instrText xml:space="preserve"> TITLE   \* MERGEFORMAT </w:instrText>
      </w:r>
      <w:r>
        <w:fldChar w:fldCharType="separate"/>
      </w:r>
      <w:r>
        <w:t>MTMG300A Overview wild game meat industry</w:t>
      </w:r>
      <w:r>
        <w:fldChar w:fldCharType="end"/>
      </w:r>
    </w:p>
    <w:p w:rsidR="00D047E7" w:rsidP="00D047E7">
      <w:pPr>
        <w:pStyle w:val="Version"/>
        <w:sectPr w:rsidSect="008F0C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CDA" w:rsidP="008F0CDA">
      <w:pPr>
        <w:pStyle w:val="SuperHeading"/>
      </w:pPr>
      <w:r w:rsidRPr="008F0CDA">
        <w:t>MTMG300A Overview wild game meat industry</w:t>
      </w:r>
    </w:p>
    <w:p w:rsidR="00000000" w:rsidRPr="008F0CDA" w:rsidP="008F0CDA">
      <w:pPr>
        <w:pStyle w:val="Heading1"/>
      </w:pPr>
      <w:bookmarkStart w:id="1" w:name="O_272475"/>
      <w:bookmarkEnd w:id="1"/>
      <w:r w:rsidRPr="008F0CDA">
        <w:t>Modification History</w:t>
      </w:r>
    </w:p>
    <w:p w:rsidR="00000000" w:rsidRPr="008F0CDA" w:rsidP="008F0CDA">
      <w:pPr>
        <w:pStyle w:val="BodyText"/>
      </w:pPr>
      <w:r w:rsidRPr="008F0CDA">
        <w:t>Not Applicable</w:t>
      </w:r>
    </w:p>
    <w:p w:rsidR="00000000" w:rsidRPr="008F0CDA" w:rsidP="008F0CDA">
      <w:pPr>
        <w:pStyle w:val="AllowPageBreak"/>
      </w:pPr>
    </w:p>
    <w:p w:rsidR="00000000" w:rsidRPr="008F0CDA" w:rsidP="008F0CDA">
      <w:pPr>
        <w:pStyle w:val="Heading1"/>
      </w:pPr>
      <w:bookmarkStart w:id="2" w:name="O_213763"/>
      <w:bookmarkEnd w:id="2"/>
      <w:r w:rsidRPr="008F0CDA">
        <w:t>Unit Descriptor</w:t>
      </w:r>
    </w:p>
    <w:tbl>
      <w:tblPr>
        <w:tblW w:w="0" w:type="auto"/>
        <w:tblLayout w:type="fixed"/>
        <w:tblCellMar>
          <w:left w:w="62" w:type="dxa"/>
          <w:right w:w="62" w:type="dxa"/>
        </w:tblCellMar>
        <w:tblLook w:val="0000"/>
      </w:tblPr>
      <w:tblGrid>
        <w:gridCol w:w="2671"/>
        <w:gridCol w:w="5851"/>
      </w:tblGrid>
      <w:tr w:rsidTr="00D047E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BodyText"/>
            </w:pPr>
            <w:r w:rsidRPr="008F0CDA">
              <w:t>This unit covers the skills and knowledge required to interpret and operate in the commercial and</w:t>
            </w:r>
            <w:r w:rsidRPr="008F0CDA">
              <w:t xml:space="preserve"> regulatory environment of the game meat industry.</w:t>
            </w:r>
          </w:p>
        </w:tc>
      </w:tr>
    </w:tbl>
    <w:p w:rsidR="00D047E7" w:rsidP="008F0CDA">
      <w:pPr>
        <w:pStyle w:val="BodyText"/>
      </w:pPr>
    </w:p>
    <w:p w:rsidR="00D047E7" w:rsidP="008F0CDA">
      <w:pPr>
        <w:pStyle w:val="BodyText"/>
      </w:pPr>
    </w:p>
    <w:p w:rsidR="00000000" w:rsidRPr="008F0CDA" w:rsidP="008F0CDA">
      <w:pPr>
        <w:pStyle w:val="Heading1"/>
      </w:pPr>
      <w:bookmarkStart w:id="3" w:name="O_213767"/>
      <w:bookmarkEnd w:id="3"/>
      <w:r w:rsidRPr="008F0CDA">
        <w:t>Application of the Unit</w:t>
      </w:r>
    </w:p>
    <w:tbl>
      <w:tblPr>
        <w:tblW w:w="0" w:type="auto"/>
        <w:tblLayout w:type="fixed"/>
        <w:tblCellMar>
          <w:left w:w="62" w:type="dxa"/>
          <w:right w:w="62" w:type="dxa"/>
        </w:tblCellMar>
        <w:tblLook w:val="0000"/>
      </w:tblPr>
      <w:tblGrid>
        <w:gridCol w:w="2756"/>
        <w:gridCol w:w="5766"/>
      </w:tblGrid>
      <w:tr w:rsidTr="00D047E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BodyText"/>
            </w:pPr>
            <w:r w:rsidRPr="008F0CDA">
              <w:t>This unit is applicable to workers in game processing plants, field depot managers and wild game harvesters.</w:t>
            </w:r>
          </w:p>
        </w:tc>
      </w:tr>
    </w:tbl>
    <w:p w:rsidR="00D047E7" w:rsidP="008F0CDA">
      <w:pPr>
        <w:pStyle w:val="BodyText"/>
      </w:pPr>
    </w:p>
    <w:p w:rsidR="00D047E7" w:rsidP="008F0CDA">
      <w:pPr>
        <w:pStyle w:val="BodyText"/>
      </w:pPr>
    </w:p>
    <w:p w:rsidR="00000000" w:rsidRPr="008F0CDA" w:rsidP="008F0CDA">
      <w:pPr>
        <w:pStyle w:val="Heading1"/>
      </w:pPr>
      <w:bookmarkStart w:id="4" w:name="O_280735"/>
      <w:bookmarkEnd w:id="4"/>
      <w:r w:rsidRPr="008F0CDA">
        <w:t>Licensing/Regulatory Information</w:t>
      </w:r>
    </w:p>
    <w:p w:rsidR="00000000" w:rsidRPr="008F0CDA" w:rsidP="008F0CDA">
      <w:pPr>
        <w:pStyle w:val="BodyText"/>
      </w:pPr>
      <w:r w:rsidRPr="008F0CDA">
        <w:t>Not Applicable</w:t>
      </w:r>
    </w:p>
    <w:p w:rsidR="00000000" w:rsidRPr="008F0CDA" w:rsidP="008F0CDA">
      <w:pPr>
        <w:pStyle w:val="AllowPageBreak"/>
      </w:pPr>
    </w:p>
    <w:p w:rsidR="00000000" w:rsidRPr="008F0CDA" w:rsidP="008F0CDA">
      <w:pPr>
        <w:pStyle w:val="Heading1"/>
      </w:pPr>
      <w:bookmarkStart w:id="5" w:name="O_213765"/>
      <w:bookmarkEnd w:id="5"/>
      <w:r w:rsidRPr="008F0CDA">
        <w:t>Pre-Requisites</w:t>
      </w:r>
    </w:p>
    <w:tbl>
      <w:tblPr>
        <w:tblW w:w="0" w:type="auto"/>
        <w:tblLayout w:type="fixed"/>
        <w:tblCellMar>
          <w:left w:w="62" w:type="dxa"/>
          <w:right w:w="62" w:type="dxa"/>
        </w:tblCellMar>
        <w:tblLook w:val="0000"/>
      </w:tblPr>
      <w:tblGrid>
        <w:gridCol w:w="2775"/>
        <w:gridCol w:w="1295"/>
        <w:gridCol w:w="4452"/>
      </w:tblGrid>
      <w:tr w:rsidTr="00D047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p>
        </w:tc>
      </w:tr>
      <w:tr w:rsidTr="00D047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p>
        </w:tc>
      </w:tr>
      <w:tr w:rsidTr="00D047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BodyText"/>
            </w:pPr>
          </w:p>
        </w:tc>
      </w:tr>
    </w:tbl>
    <w:p w:rsidR="00D047E7" w:rsidP="008F0CDA">
      <w:pPr>
        <w:pStyle w:val="BodyText"/>
      </w:pPr>
    </w:p>
    <w:p w:rsidR="00D047E7" w:rsidP="008F0CDA">
      <w:pPr>
        <w:pStyle w:val="BodyText"/>
      </w:pPr>
    </w:p>
    <w:p w:rsidR="00000000" w:rsidRPr="008F0CDA" w:rsidP="008F0CDA">
      <w:pPr>
        <w:pStyle w:val="Heading1"/>
      </w:pPr>
      <w:bookmarkStart w:id="6" w:name="O_213764"/>
      <w:bookmarkEnd w:id="6"/>
      <w:r w:rsidRPr="008F0CDA">
        <w:t>Employability Skills Information</w:t>
      </w:r>
    </w:p>
    <w:tbl>
      <w:tblPr>
        <w:tblW w:w="0" w:type="auto"/>
        <w:tblLayout w:type="fixed"/>
        <w:tblCellMar>
          <w:left w:w="62" w:type="dxa"/>
          <w:right w:w="62" w:type="dxa"/>
        </w:tblCellMar>
        <w:tblLook w:val="0000"/>
      </w:tblPr>
      <w:tblGrid>
        <w:gridCol w:w="2802"/>
        <w:gridCol w:w="5720"/>
      </w:tblGrid>
      <w:tr w:rsidTr="00D047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BodyText"/>
            </w:pPr>
            <w:r w:rsidRPr="008F0CDA">
              <w:t>This unit contains employability skills.</w:t>
            </w:r>
          </w:p>
        </w:tc>
      </w:tr>
    </w:tbl>
    <w:p w:rsidR="00D047E7" w:rsidP="008F0CDA">
      <w:pPr>
        <w:pStyle w:val="BodyText"/>
      </w:pPr>
    </w:p>
    <w:p w:rsidR="00D047E7" w:rsidP="008F0CDA">
      <w:pPr>
        <w:pStyle w:val="BodyText"/>
      </w:pPr>
    </w:p>
    <w:p w:rsidR="00000000" w:rsidRPr="008F0CDA" w:rsidP="008F0CDA">
      <w:pPr>
        <w:pStyle w:val="Heading1"/>
      </w:pPr>
      <w:bookmarkStart w:id="7" w:name="O_290521"/>
      <w:bookmarkEnd w:id="7"/>
      <w:r w:rsidRPr="008F0CDA">
        <w:t>Elements and Performance Criteria Pre-Content</w:t>
      </w:r>
    </w:p>
    <w:tbl>
      <w:tblPr>
        <w:tblW w:w="0" w:type="auto"/>
        <w:tblLayout w:type="fixed"/>
        <w:tblCellMar>
          <w:left w:w="62" w:type="dxa"/>
          <w:right w:w="62" w:type="dxa"/>
        </w:tblCellMar>
        <w:tblLook w:val="0000"/>
      </w:tblPr>
      <w:tblGrid>
        <w:gridCol w:w="2544"/>
        <w:gridCol w:w="5978"/>
      </w:tblGrid>
      <w:tr w:rsidTr="00D047E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BodyText"/>
            </w:pPr>
            <w:r w:rsidRPr="008F0CDA">
              <w:t>Performance criteria describe the performance needed to demonstrate achievement of the element. Where bold italicised text is used, further info</w:t>
            </w:r>
            <w:r w:rsidRPr="008F0CDA">
              <w:t>rmation is detailed in the required skills and knowledge section and the range statement. Assessment of performance is to be consistent with the evidence guide.</w:t>
            </w:r>
          </w:p>
        </w:tc>
      </w:tr>
    </w:tbl>
    <w:p w:rsidR="00000000" w:rsidRPr="008F0CDA" w:rsidP="008F0CDA">
      <w:pPr>
        <w:pStyle w:val="BodyText"/>
      </w:pPr>
    </w:p>
    <w:p w:rsidR="00000000" w:rsidRPr="008F0CDA" w:rsidP="008F0CDA">
      <w:pPr>
        <w:pStyle w:val="AllowPageBreak"/>
      </w:pPr>
    </w:p>
    <w:p w:rsidR="00000000" w:rsidRPr="008F0CDA" w:rsidP="008F0CDA">
      <w:pPr>
        <w:pStyle w:val="Heading1"/>
      </w:pPr>
      <w:bookmarkStart w:id="8" w:name="O_237188"/>
      <w:bookmarkEnd w:id="8"/>
      <w:r w:rsidRPr="008F0CDA">
        <w:t>Elements and Performance Criteria</w:t>
      </w:r>
    </w:p>
    <w:tbl>
      <w:tblPr>
        <w:tblW w:w="0" w:type="auto"/>
        <w:tblLayout w:type="fixed"/>
        <w:tblCellMar>
          <w:left w:w="62" w:type="dxa"/>
          <w:right w:w="62" w:type="dxa"/>
        </w:tblCellMar>
        <w:tblLook w:val="0000"/>
      </w:tblPr>
      <w:tblGrid>
        <w:gridCol w:w="2544"/>
        <w:gridCol w:w="5978"/>
      </w:tblGrid>
      <w:tr w:rsidTr="00D047E7">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BodyText"/>
            </w:pPr>
            <w:r w:rsidRPr="008F0CDA">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SpecialBold"/>
              </w:rPr>
              <w:t>PERFORMANCE CRITERIA</w:t>
            </w:r>
          </w:p>
        </w:tc>
      </w:tr>
      <w:tr w:rsidTr="00D047E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List"/>
              <w:rPr>
                <w:lang w:val="en-NZ"/>
              </w:rPr>
            </w:pPr>
            <w:r w:rsidRPr="008F0CDA">
              <w:t>1.</w:t>
            </w:r>
            <w:r w:rsidRPr="008F0CDA">
              <w:tab/>
            </w:r>
            <w:r w:rsidRPr="008F0CDA">
              <w:t xml:space="preserve">Identify the sequence of operations for wild game harvesting in Australia </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List2"/>
            </w:pPr>
            <w:r w:rsidRPr="008F0CDA">
              <w:t>1.1.</w:t>
            </w:r>
            <w:r w:rsidRPr="008F0CDA">
              <w:tab/>
              <w:t xml:space="preserve">The importance of a professional image for </w:t>
            </w:r>
            <w:r w:rsidRPr="008F0CDA">
              <w:rPr>
                <w:rStyle w:val="BoldandItalics"/>
              </w:rPr>
              <w:t>wild game</w:t>
            </w:r>
            <w:r w:rsidRPr="008F0CDA">
              <w:t xml:space="preserve"> meat industry is explained. </w:t>
            </w:r>
          </w:p>
          <w:p w:rsidR="00000000" w:rsidRPr="008F0CDA" w:rsidP="008F0CDA">
            <w:pPr>
              <w:pStyle w:val="List2"/>
            </w:pPr>
            <w:r w:rsidRPr="008F0CDA">
              <w:t>1.2.</w:t>
            </w:r>
            <w:r w:rsidRPr="008F0CDA">
              <w:tab/>
              <w:t xml:space="preserve">The sequence of operations from harvesting to end product is described. </w:t>
            </w:r>
          </w:p>
          <w:p w:rsidR="00000000" w:rsidRPr="008F0CDA" w:rsidP="008F0CDA">
            <w:pPr>
              <w:pStyle w:val="List2"/>
            </w:pPr>
            <w:r w:rsidRPr="008F0CDA">
              <w:t>1.3.</w:t>
            </w:r>
            <w:r w:rsidRPr="008F0CDA">
              <w:tab/>
              <w:t>The range o</w:t>
            </w:r>
            <w:r w:rsidRPr="008F0CDA">
              <w:t xml:space="preserve">f </w:t>
            </w:r>
            <w:r w:rsidRPr="008F0CDA">
              <w:rPr>
                <w:rStyle w:val="BoldandItalics"/>
              </w:rPr>
              <w:t>wild game meat products</w:t>
            </w:r>
            <w:r w:rsidRPr="008F0CDA">
              <w:t xml:space="preserve"> produced in Australia is identified.</w:t>
            </w:r>
          </w:p>
          <w:p w:rsidR="00000000" w:rsidP="008F0CDA">
            <w:pPr>
              <w:pStyle w:val="List2"/>
              <w:rPr>
                <w:lang w:val="en-NZ"/>
              </w:rPr>
            </w:pPr>
            <w:r w:rsidRPr="008F0CDA">
              <w:t>1.4.</w:t>
            </w:r>
            <w:r w:rsidRPr="008F0CDA">
              <w:tab/>
              <w:t xml:space="preserve">The impact of </w:t>
            </w:r>
            <w:r w:rsidRPr="008F0CDA">
              <w:rPr>
                <w:rStyle w:val="BoldandItalics"/>
              </w:rPr>
              <w:t>customer expectations</w:t>
            </w:r>
            <w:r w:rsidRPr="008F0CDA">
              <w:t xml:space="preserve"> on the wild game harvesting process is explained.</w:t>
            </w:r>
          </w:p>
        </w:tc>
      </w:tr>
      <w:tr w:rsidTr="00D047E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List"/>
              <w:rPr>
                <w:lang w:val="en-NZ"/>
              </w:rPr>
            </w:pPr>
            <w:r w:rsidRPr="008F0CDA">
              <w:t>2.</w:t>
            </w:r>
            <w:r w:rsidRPr="008F0CDA">
              <w:tab/>
              <w:t>Interpret the commercial and regulatory environment of  wild game meat harvesting</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List2"/>
            </w:pPr>
            <w:r w:rsidRPr="008F0CDA">
              <w:t>2.1.</w:t>
            </w:r>
            <w:r w:rsidRPr="008F0CDA">
              <w:tab/>
              <w:t>The role of</w:t>
            </w:r>
            <w:r w:rsidRPr="008F0CDA">
              <w:t xml:space="preserve"> Australian Quarantine Inspection Service (AQIS) and relevant state and territory regulatory authorities are explained.</w:t>
            </w:r>
          </w:p>
          <w:p w:rsidR="00000000" w:rsidRPr="008F0CDA" w:rsidP="008F0CDA">
            <w:pPr>
              <w:pStyle w:val="List2"/>
            </w:pPr>
            <w:r w:rsidRPr="008F0CDA">
              <w:t>2.2.</w:t>
            </w:r>
            <w:r w:rsidRPr="008F0CDA">
              <w:tab/>
              <w:t>The importance of the relevant approved arrangement, food safety plan or management plan is explained.</w:t>
            </w:r>
          </w:p>
          <w:p w:rsidR="00000000" w:rsidRPr="008F0CDA" w:rsidP="008F0CDA">
            <w:pPr>
              <w:pStyle w:val="List2"/>
            </w:pPr>
            <w:r w:rsidRPr="008F0CDA">
              <w:t>2.3.</w:t>
            </w:r>
            <w:r w:rsidRPr="008F0CDA">
              <w:tab/>
              <w:t>Relevant sections of AS</w:t>
            </w:r>
            <w:r w:rsidRPr="008F0CDA">
              <w:t xml:space="preserve"> 4464:2007 Hygienic Production of Wild Game Meat for Human Consumption are explained.</w:t>
            </w:r>
          </w:p>
          <w:p w:rsidR="00000000" w:rsidRPr="008F0CDA" w:rsidP="008F0CDA">
            <w:pPr>
              <w:pStyle w:val="List2"/>
            </w:pPr>
            <w:r w:rsidRPr="008F0CDA">
              <w:t>2.4.</w:t>
            </w:r>
            <w:r w:rsidRPr="008F0CDA">
              <w:tab/>
              <w:t>The nature of prohibited areas/locations for harvesting is explained.</w:t>
            </w:r>
          </w:p>
          <w:p w:rsidR="00000000" w:rsidP="008F0CDA">
            <w:pPr>
              <w:pStyle w:val="List2"/>
              <w:rPr>
                <w:lang w:val="en-NZ"/>
              </w:rPr>
            </w:pPr>
            <w:r w:rsidRPr="008F0CDA">
              <w:t>2.5.</w:t>
            </w:r>
            <w:r w:rsidRPr="008F0CDA">
              <w:tab/>
              <w:t>Auditing, review and micro-testing programs which affect the industry are described.</w:t>
            </w:r>
          </w:p>
        </w:tc>
      </w:tr>
      <w:tr w:rsidTr="00D047E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List"/>
              <w:rPr>
                <w:lang w:val="en-NZ"/>
              </w:rPr>
            </w:pPr>
            <w:r w:rsidRPr="008F0CDA">
              <w:t>3.</w:t>
            </w:r>
            <w:r w:rsidRPr="008F0CDA">
              <w:tab/>
            </w:r>
            <w:r w:rsidRPr="008F0CDA">
              <w:t xml:space="preserve">Operate effectively as an individual in the wild game harvesting industry  </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List2"/>
            </w:pPr>
            <w:r w:rsidRPr="008F0CDA">
              <w:t>3.1.</w:t>
            </w:r>
            <w:r w:rsidRPr="008F0CDA">
              <w:tab/>
              <w:t xml:space="preserve">Appropriate </w:t>
            </w:r>
            <w:r w:rsidRPr="008F0CDA">
              <w:rPr>
                <w:rStyle w:val="BoldandItalics"/>
              </w:rPr>
              <w:t>communication skills and styles are used</w:t>
            </w:r>
            <w:r w:rsidRPr="008F0CDA">
              <w:t xml:space="preserve">. </w:t>
            </w:r>
          </w:p>
          <w:p w:rsidR="00000000" w:rsidRPr="008F0CDA" w:rsidP="008F0CDA">
            <w:pPr>
              <w:pStyle w:val="List2"/>
            </w:pPr>
            <w:r w:rsidRPr="008F0CDA">
              <w:t>3.2.</w:t>
            </w:r>
            <w:r w:rsidRPr="008F0CDA">
              <w:tab/>
              <w:t>Occupational Health and Safety (OH&amp;S) hazards are identified and appropriate precautions taken.</w:t>
            </w:r>
          </w:p>
          <w:p w:rsidR="00000000" w:rsidRPr="008F0CDA" w:rsidP="008F0CDA">
            <w:pPr>
              <w:pStyle w:val="List2"/>
            </w:pPr>
            <w:r w:rsidRPr="008F0CDA">
              <w:t>3.3.</w:t>
            </w:r>
            <w:r w:rsidRPr="008F0CDA">
              <w:tab/>
              <w:t>Time and deliv</w:t>
            </w:r>
            <w:r w:rsidRPr="008F0CDA">
              <w:t>ery obligations are managed.</w:t>
            </w:r>
          </w:p>
          <w:p w:rsidR="00000000" w:rsidRPr="008F0CDA" w:rsidP="008F0CDA">
            <w:pPr>
              <w:pStyle w:val="List2"/>
            </w:pPr>
            <w:r w:rsidRPr="008F0CDA">
              <w:t>3.4.</w:t>
            </w:r>
            <w:r w:rsidRPr="008F0CDA">
              <w:tab/>
              <w:t>Personal hygiene requirements are described.</w:t>
            </w:r>
          </w:p>
        </w:tc>
      </w:tr>
    </w:tbl>
    <w:p w:rsidR="00D047E7" w:rsidP="008F0CDA">
      <w:pPr>
        <w:pStyle w:val="BodyText"/>
      </w:pPr>
    </w:p>
    <w:p w:rsidR="00D047E7" w:rsidP="008F0CDA">
      <w:pPr>
        <w:pStyle w:val="BodyText"/>
      </w:pPr>
    </w:p>
    <w:p w:rsidR="00000000" w:rsidRPr="008F0CDA" w:rsidP="008F0CDA">
      <w:pPr>
        <w:pStyle w:val="Heading1"/>
      </w:pPr>
      <w:bookmarkStart w:id="9" w:name="O_261138"/>
      <w:bookmarkEnd w:id="9"/>
      <w:r w:rsidRPr="008F0CDA">
        <w:t>Required Skills and Knowledge</w:t>
      </w:r>
    </w:p>
    <w:tbl>
      <w:tblPr>
        <w:tblW w:w="0" w:type="auto"/>
        <w:tblLayout w:type="fixed"/>
        <w:tblCellMar>
          <w:left w:w="62" w:type="dxa"/>
          <w:right w:w="62" w:type="dxa"/>
        </w:tblCellMar>
        <w:tblLook w:val="0000"/>
      </w:tblPr>
      <w:tblGrid>
        <w:gridCol w:w="8522"/>
      </w:tblGrid>
      <w:tr w:rsidTr="00D047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SpecialBold"/>
              </w:rPr>
              <w:t>REQUIRED SKILLS AND KNOWLEDGE</w:t>
            </w:r>
          </w:p>
        </w:tc>
      </w:tr>
      <w:tr w:rsidTr="00D047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t>This section describes the skills and knowledge required for this unit.</w:t>
            </w:r>
          </w:p>
        </w:tc>
      </w:tr>
      <w:tr w:rsidTr="00D047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SpecialBold"/>
              </w:rPr>
              <w:t>Required skills</w:t>
            </w:r>
          </w:p>
        </w:tc>
      </w:tr>
      <w:tr w:rsidTr="00D047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BodyText"/>
            </w:pPr>
            <w:r w:rsidRPr="008F0CDA">
              <w:t xml:space="preserve">Ability to: </w:t>
            </w:r>
          </w:p>
          <w:p w:rsidR="00000000" w:rsidRPr="008F0CDA" w:rsidP="008F0CDA">
            <w:pPr>
              <w:pStyle w:val="ListBullet2"/>
            </w:pPr>
            <w:r w:rsidRPr="008F0CDA">
              <w:t>use appropriate communication styles</w:t>
            </w:r>
          </w:p>
          <w:p w:rsidR="00000000" w:rsidRPr="008F0CDA" w:rsidP="008F0CDA">
            <w:pPr>
              <w:pStyle w:val="ListBullet2"/>
            </w:pPr>
            <w:r w:rsidRPr="008F0CDA">
              <w:t xml:space="preserve">read and interpret workplace related documentation </w:t>
            </w:r>
          </w:p>
          <w:p w:rsidR="00000000" w:rsidRPr="008F0CDA" w:rsidP="008F0CDA">
            <w:pPr>
              <w:pStyle w:val="ListBullet2"/>
            </w:pPr>
            <w:r w:rsidRPr="008F0CDA">
              <w:t>maintain the professional image of the industry in the performance of duties</w:t>
            </w:r>
          </w:p>
          <w:p w:rsidR="00000000" w:rsidRPr="008F0CDA" w:rsidP="008F0CDA">
            <w:pPr>
              <w:pStyle w:val="ListBullet2"/>
            </w:pPr>
            <w:r w:rsidRPr="008F0CDA">
              <w:t>learn in order to accommodate change</w:t>
            </w:r>
          </w:p>
          <w:p w:rsidR="00000000" w:rsidRPr="008F0CDA" w:rsidP="008F0CDA">
            <w:pPr>
              <w:pStyle w:val="ListBullet2"/>
            </w:pPr>
            <w:r w:rsidRPr="008F0CDA">
              <w:t xml:space="preserve">collect, analyse and organise information </w:t>
            </w:r>
          </w:p>
          <w:p w:rsidR="00000000" w:rsidRPr="008F0CDA" w:rsidP="008F0CDA">
            <w:pPr>
              <w:pStyle w:val="ListBullet2"/>
            </w:pPr>
            <w:r w:rsidRPr="008F0CDA">
              <w:t>work with diverse individuals and groups</w:t>
            </w:r>
          </w:p>
          <w:p w:rsidR="00000000" w:rsidRPr="008F0CDA" w:rsidP="008F0CDA">
            <w:pPr>
              <w:pStyle w:val="ListBullet2"/>
            </w:pPr>
            <w:r w:rsidRPr="008F0CDA">
              <w:t xml:space="preserve">interpret the needs of internal and external customers </w:t>
            </w:r>
          </w:p>
          <w:p w:rsidR="00000000" w:rsidP="008F0CDA">
            <w:pPr>
              <w:pStyle w:val="ListBullet2"/>
              <w:rPr>
                <w:lang w:val="en-NZ"/>
              </w:rPr>
            </w:pPr>
            <w:r w:rsidRPr="008F0CDA">
              <w:t>monitor and evaluate own performance</w:t>
            </w:r>
          </w:p>
        </w:tc>
      </w:tr>
      <w:tr w:rsidTr="00D047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SpecialBold"/>
              </w:rPr>
              <w:t>Required knowledge</w:t>
            </w:r>
          </w:p>
        </w:tc>
      </w:tr>
      <w:tr w:rsidTr="00D047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BodyText"/>
            </w:pPr>
            <w:r w:rsidRPr="008F0CDA">
              <w:t>Knowledge of:</w:t>
            </w:r>
          </w:p>
          <w:p w:rsidR="00000000" w:rsidRPr="008F0CDA" w:rsidP="008F0CDA">
            <w:pPr>
              <w:pStyle w:val="ListBullet2"/>
            </w:pPr>
            <w:r w:rsidRPr="008F0CDA">
              <w:t>application of Approved Arrangement or mana</w:t>
            </w:r>
            <w:r w:rsidRPr="008F0CDA">
              <w:t>gement plan to the individual's duties</w:t>
            </w:r>
          </w:p>
          <w:p w:rsidR="00000000" w:rsidRPr="008F0CDA" w:rsidP="008F0CDA">
            <w:pPr>
              <w:pStyle w:val="ListBullet2"/>
            </w:pPr>
            <w:r w:rsidRPr="008F0CDA">
              <w:t>implications of company, regulator and international reviews of game harvesting industry</w:t>
            </w:r>
          </w:p>
          <w:p w:rsidR="00000000" w:rsidRPr="008F0CDA" w:rsidP="008F0CDA">
            <w:pPr>
              <w:pStyle w:val="ListBullet2"/>
            </w:pPr>
            <w:r w:rsidRPr="008F0CDA">
              <w:t>role of the state and federal regulators</w:t>
            </w:r>
          </w:p>
          <w:p w:rsidR="00000000" w:rsidRPr="008F0CDA" w:rsidP="008F0CDA">
            <w:pPr>
              <w:pStyle w:val="ListBullet2"/>
            </w:pPr>
            <w:r w:rsidRPr="008F0CDA">
              <w:t>the steps in the wild game supply chain</w:t>
            </w:r>
          </w:p>
          <w:p w:rsidR="00000000" w:rsidRPr="008F0CDA" w:rsidP="008F0CDA">
            <w:pPr>
              <w:pStyle w:val="ListBullet2"/>
            </w:pPr>
            <w:r w:rsidRPr="008F0CDA">
              <w:t>markets for the wild game products</w:t>
            </w:r>
          </w:p>
        </w:tc>
      </w:tr>
    </w:tbl>
    <w:p w:rsidR="00D047E7" w:rsidP="008F0CDA">
      <w:pPr>
        <w:pStyle w:val="BodyText"/>
      </w:pPr>
    </w:p>
    <w:p w:rsidR="00D047E7" w:rsidP="008F0CDA">
      <w:pPr>
        <w:pStyle w:val="BodyText"/>
      </w:pPr>
    </w:p>
    <w:p w:rsidR="00000000" w:rsidRPr="008F0CDA" w:rsidP="008F0CDA">
      <w:pPr>
        <w:pStyle w:val="AllowPageBreak"/>
      </w:pPr>
    </w:p>
    <w:p w:rsidR="00000000" w:rsidRPr="008F0CDA" w:rsidP="008F0CDA">
      <w:pPr>
        <w:pStyle w:val="Heading1"/>
      </w:pPr>
      <w:bookmarkStart w:id="10" w:name="O_245172"/>
      <w:bookmarkEnd w:id="10"/>
      <w:r w:rsidRPr="008F0CDA">
        <w:t>Evidence Guide</w:t>
      </w:r>
    </w:p>
    <w:tbl>
      <w:tblPr>
        <w:tblW w:w="9570" w:type="dxa"/>
        <w:tblLayout w:type="fixed"/>
        <w:tblCellMar>
          <w:left w:w="62" w:type="dxa"/>
          <w:right w:w="62" w:type="dxa"/>
        </w:tblCellMar>
        <w:tblLook w:val="0000"/>
      </w:tblPr>
      <w:tblGrid>
        <w:gridCol w:w="3908"/>
        <w:gridCol w:w="5662"/>
      </w:tblGrid>
      <w:tr w:rsidTr="00D047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SpecialBold"/>
              </w:rPr>
              <w:t>EVIDENCE GUIDE</w:t>
            </w:r>
          </w:p>
        </w:tc>
      </w:tr>
      <w:tr w:rsidTr="00D047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t>The evidence guide provides advice on assessment and must be read in conjunction with the performance criteria, required skills and knowledge, range statement and the Assessment Guidelines for the Tr</w:t>
            </w:r>
            <w:r w:rsidRPr="008F0CDA">
              <w:t>aining Package.</w:t>
            </w:r>
          </w:p>
        </w:tc>
      </w:tr>
      <w:tr w:rsidTr="00D04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BodyText"/>
            </w:pPr>
            <w:r w:rsidRPr="008F0CDA">
              <w:t xml:space="preserve">The meat industry has specific and clear requirements for evidence. A minimum of three forms of evidence is required to demonstrate competency </w:t>
            </w:r>
            <w:r w:rsidRPr="008F0CDA">
              <w:t>in the meat industry. This is specifically designed to provide evidence that covers the demonstration in the workplace of all aspects of competency over time.</w:t>
            </w:r>
          </w:p>
          <w:p w:rsidR="00000000" w:rsidRPr="008F0CDA" w:rsidP="008F0CDA">
            <w:pPr>
              <w:pStyle w:val="BodyText"/>
            </w:pPr>
          </w:p>
          <w:p w:rsidR="00000000" w:rsidRPr="008F0CDA" w:rsidP="008F0CDA">
            <w:pPr>
              <w:pStyle w:val="BodyText"/>
            </w:pPr>
            <w:r w:rsidRPr="008F0CDA">
              <w:t>These requirements are in addition to the requirements for valid, current, authentic and suffici</w:t>
            </w:r>
            <w:r w:rsidRPr="008F0CDA">
              <w:t>ent evidence.</w:t>
            </w:r>
          </w:p>
          <w:p w:rsidR="00000000" w:rsidRPr="008F0CDA" w:rsidP="008F0CDA">
            <w:pPr>
              <w:pStyle w:val="BodyText"/>
            </w:pPr>
            <w:r w:rsidRPr="008F0CDA">
              <w:t>Three forms of evidence means three different kinds of evidence - not three pieces of the same kind. In practice it will mean that most of the unit is covered twice. This increases the legitimacy of the evidence.</w:t>
            </w:r>
          </w:p>
          <w:p w:rsidR="00000000" w:rsidRPr="008F0CDA" w:rsidP="008F0CDA">
            <w:pPr>
              <w:pStyle w:val="BodyText"/>
            </w:pPr>
          </w:p>
          <w:p w:rsidR="00000000" w:rsidP="008F0CDA">
            <w:pPr>
              <w:pStyle w:val="BodyText"/>
              <w:rPr>
                <w:lang w:val="en-NZ"/>
              </w:rPr>
            </w:pPr>
            <w:r w:rsidRPr="008F0CDA">
              <w:t>All assessment must be condu</w:t>
            </w:r>
            <w:r w:rsidRPr="008F0CDA">
              <w:t>cted against Australian meat industry standards and regulations.</w:t>
            </w:r>
          </w:p>
        </w:tc>
      </w:tr>
      <w:tr w:rsidTr="00D04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t>Candidates must be able to demonstrate an understanding that the wild game industry is highly reg</w:t>
            </w:r>
            <w:r w:rsidRPr="008F0CDA">
              <w:t>ulated and reviewed with high standards of hygiene expected by customers of both the product and workers.</w:t>
            </w:r>
          </w:p>
        </w:tc>
      </w:tr>
      <w:tr w:rsidTr="00D04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t>Competencies for this unit can be demonstrated either in the workplace or in a simulated environment</w:t>
            </w:r>
            <w:r w:rsidRPr="008F0CDA">
              <w:t>.</w:t>
            </w:r>
          </w:p>
        </w:tc>
      </w:tr>
      <w:tr w:rsidTr="00D04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BodyText"/>
            </w:pPr>
            <w:r w:rsidRPr="008F0CDA">
              <w:t>Assessment methods may include:</w:t>
            </w:r>
          </w:p>
          <w:p w:rsidR="00000000" w:rsidRPr="008F0CDA" w:rsidP="008F0CDA">
            <w:pPr>
              <w:pStyle w:val="ListBullet"/>
            </w:pPr>
            <w:r w:rsidRPr="008F0CDA">
              <w:t>workplace referee report</w:t>
            </w:r>
          </w:p>
          <w:p w:rsidR="00000000" w:rsidRPr="008F0CDA" w:rsidP="008F0CDA">
            <w:pPr>
              <w:pStyle w:val="ListBullet"/>
            </w:pPr>
            <w:r w:rsidRPr="008F0CDA">
              <w:t>on-the-job demonstration with assessor observation</w:t>
            </w:r>
          </w:p>
          <w:p w:rsidR="00000000" w:rsidRPr="008F0CDA" w:rsidP="008F0CDA">
            <w:pPr>
              <w:pStyle w:val="ListBullet"/>
            </w:pPr>
            <w:r w:rsidRPr="008F0CDA">
              <w:t>knowledge test</w:t>
            </w:r>
          </w:p>
          <w:p w:rsidR="00000000" w:rsidRPr="008F0CDA" w:rsidP="008F0CDA">
            <w:pPr>
              <w:pStyle w:val="ListBullet"/>
            </w:pPr>
            <w:r w:rsidRPr="008F0CDA">
              <w:t>oral and written examinations</w:t>
            </w:r>
          </w:p>
          <w:p w:rsidR="00000000" w:rsidRPr="008F0CDA" w:rsidP="008F0CDA">
            <w:pPr>
              <w:pStyle w:val="ListBullet"/>
            </w:pPr>
            <w:r w:rsidRPr="008F0CDA">
              <w:t xml:space="preserve">development of an explanatory flow chart </w:t>
            </w:r>
          </w:p>
          <w:p w:rsidR="00000000" w:rsidRPr="008F0CDA" w:rsidP="008F0CDA">
            <w:pPr>
              <w:pStyle w:val="ListBullet"/>
            </w:pPr>
            <w:r w:rsidRPr="008F0CDA">
              <w:t>preparation of a personal folio (ei</w:t>
            </w:r>
            <w:r w:rsidRPr="008F0CDA">
              <w:t xml:space="preserve">ther written or electronic) of key regulations, issues and responsibilities. </w:t>
            </w:r>
          </w:p>
          <w:p w:rsidR="00000000" w:rsidRPr="008F0CDA" w:rsidP="008F0CDA">
            <w:pPr>
              <w:pStyle w:val="BodyText"/>
            </w:pPr>
          </w:p>
          <w:p w:rsidR="00000000" w:rsidP="008F0CDA">
            <w:pPr>
              <w:pStyle w:val="BodyText"/>
              <w:rPr>
                <w:lang w:val="en-NZ"/>
              </w:rPr>
            </w:pPr>
            <w:r w:rsidRPr="008F0CDA">
              <w:t xml:space="preserve">Assessment practices should take into account any relevant language or cultural issues related to Aboriginality or Torres Strait Islander, gender, or language backgrounds other </w:t>
            </w:r>
            <w:r w:rsidRPr="008F0CDA">
              <w:t>than English. Language and literacy demands of the assessment task should not be higher than those of the work role.</w:t>
            </w:r>
          </w:p>
        </w:tc>
      </w:tr>
      <w:tr w:rsidTr="00D04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BodyText"/>
            </w:pPr>
            <w:r w:rsidRPr="008F0CDA">
              <w:t xml:space="preserve">A current list of resources for this Unit of Competency is available from MINTRAC </w:t>
            </w:r>
            <w:r w:rsidRPr="008F0CDA">
              <w:rPr>
                <w:rStyle w:val="Underline"/>
              </w:rPr>
              <w:t>www</w:t>
            </w:r>
            <w:r w:rsidRPr="008F0CDA">
              <w:t>.</w:t>
            </w:r>
            <w:r w:rsidRPr="008F0CDA">
              <w:rPr>
                <w:rStyle w:val="Underline"/>
              </w:rPr>
              <w:t>mintrac</w:t>
            </w:r>
            <w:r w:rsidRPr="008F0CDA">
              <w:t>.</w:t>
            </w:r>
            <w:r w:rsidRPr="008F0CDA">
              <w:rPr>
                <w:rStyle w:val="Underline"/>
              </w:rPr>
              <w:t>com</w:t>
            </w:r>
            <w:r w:rsidRPr="008F0CDA">
              <w:t>.</w:t>
            </w:r>
            <w:r w:rsidRPr="008F0CDA">
              <w:rPr>
                <w:rStyle w:val="Underline"/>
              </w:rPr>
              <w:t>au</w:t>
            </w:r>
            <w:r w:rsidRPr="008F0CDA">
              <w:t xml:space="preserve">  or telephone 1800 817 462.</w:t>
            </w:r>
          </w:p>
        </w:tc>
      </w:tr>
    </w:tbl>
    <w:p w:rsidR="00D047E7" w:rsidP="008F0CDA">
      <w:pPr>
        <w:pStyle w:val="BodyText"/>
      </w:pPr>
    </w:p>
    <w:p w:rsidR="00D047E7" w:rsidP="008F0CDA">
      <w:pPr>
        <w:pStyle w:val="BodyText"/>
      </w:pPr>
    </w:p>
    <w:p w:rsidR="00000000" w:rsidRPr="008F0CDA" w:rsidP="008F0CDA">
      <w:pPr>
        <w:pStyle w:val="Heading1"/>
      </w:pPr>
      <w:bookmarkStart w:id="11" w:name="O_253155"/>
      <w:bookmarkEnd w:id="11"/>
      <w:r w:rsidRPr="008F0CDA">
        <w:t>Range Statement</w:t>
      </w:r>
    </w:p>
    <w:tbl>
      <w:tblPr>
        <w:tblW w:w="0" w:type="auto"/>
        <w:tblLayout w:type="fixed"/>
        <w:tblCellMar>
          <w:left w:w="62" w:type="dxa"/>
          <w:right w:w="62" w:type="dxa"/>
        </w:tblCellMar>
        <w:tblLook w:val="0000"/>
      </w:tblPr>
      <w:tblGrid>
        <w:gridCol w:w="3512"/>
        <w:gridCol w:w="5010"/>
      </w:tblGrid>
      <w:tr w:rsidTr="00D047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SpecialBold"/>
              </w:rPr>
              <w:t>RANGE STATEMENT</w:t>
            </w:r>
          </w:p>
        </w:tc>
      </w:tr>
      <w:tr w:rsidTr="00D047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t xml:space="preserve">The range statement relates to the unit of competency as a whole. It allows for different work environments and situations that may affect </w:t>
            </w:r>
            <w:r w:rsidRPr="008F0CDA">
              <w:t>performance. Bold italicised wording, if used in the performance criteria, is detailed below. Essential operating conditions that may be present with training and assessment (depending on the work situation, needs of the candidate, accessibility of the ite</w:t>
            </w:r>
            <w:r w:rsidRPr="008F0CDA">
              <w:t>m, and local industry and regional contexts) may also be included.</w:t>
            </w:r>
          </w:p>
        </w:tc>
      </w:tr>
      <w:tr w:rsidTr="00D047E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BoldandItalics"/>
              </w:rPr>
              <w:t>Wild game</w:t>
            </w:r>
            <w:r w:rsidRPr="008F0CDA">
              <w:t xml:space="preserve"> refers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ListBullet"/>
            </w:pPr>
            <w:r w:rsidRPr="008F0CDA">
              <w:t>any vertebrate animal:</w:t>
            </w:r>
          </w:p>
          <w:p w:rsidR="00000000" w:rsidRPr="008F0CDA" w:rsidP="008F0CDA">
            <w:pPr>
              <w:pStyle w:val="ListBullet2"/>
            </w:pPr>
            <w:r w:rsidRPr="008F0CDA">
              <w:t>including a mammal, bird or reptile, but excluding ﬁsh; and</w:t>
            </w:r>
          </w:p>
          <w:p w:rsidR="00000000" w:rsidRPr="008F0CDA" w:rsidP="008F0CDA">
            <w:pPr>
              <w:pStyle w:val="ListBullet2"/>
            </w:pPr>
            <w:r w:rsidRPr="008F0CDA">
              <w:t>of a species that can be legally harvested; and</w:t>
            </w:r>
          </w:p>
          <w:p w:rsidR="00000000" w:rsidRPr="008F0CDA" w:rsidP="008F0CDA">
            <w:pPr>
              <w:pStyle w:val="ListBullet2"/>
            </w:pPr>
            <w:r w:rsidRPr="008F0CDA">
              <w:t>not husbanded in the manner of a farmed animal; and</w:t>
            </w:r>
          </w:p>
          <w:p w:rsidR="00000000" w:rsidRPr="008F0CDA" w:rsidP="008F0CDA">
            <w:pPr>
              <w:pStyle w:val="ListBullet2"/>
            </w:pPr>
            <w:r w:rsidRPr="008F0CDA">
              <w:t>is killed in the ﬁeld.</w:t>
            </w:r>
          </w:p>
          <w:p w:rsidR="00000000" w:rsidRPr="008F0CDA" w:rsidP="008F0CDA">
            <w:pPr>
              <w:pStyle w:val="ListBullet"/>
            </w:pPr>
            <w:r w:rsidRPr="008F0CDA">
              <w:t xml:space="preserve">and may include: </w:t>
            </w:r>
          </w:p>
          <w:p w:rsidR="00000000" w:rsidRPr="008F0CDA" w:rsidP="008F0CDA">
            <w:pPr>
              <w:pStyle w:val="ListBullet2"/>
            </w:pPr>
            <w:r w:rsidRPr="008F0CDA">
              <w:t>kangaroos</w:t>
            </w:r>
          </w:p>
          <w:p w:rsidR="00000000" w:rsidRPr="008F0CDA" w:rsidP="008F0CDA">
            <w:pPr>
              <w:pStyle w:val="ListBullet2"/>
            </w:pPr>
            <w:r w:rsidRPr="008F0CDA">
              <w:t>wallabies</w:t>
            </w:r>
          </w:p>
          <w:p w:rsidR="00000000" w:rsidRPr="008F0CDA" w:rsidP="008F0CDA">
            <w:pPr>
              <w:pStyle w:val="ListBullet2"/>
            </w:pPr>
            <w:r w:rsidRPr="008F0CDA">
              <w:t>wild boar</w:t>
            </w:r>
          </w:p>
          <w:p w:rsidR="00000000" w:rsidRPr="008F0CDA" w:rsidP="008F0CDA">
            <w:pPr>
              <w:pStyle w:val="ListBullet2"/>
            </w:pPr>
            <w:r w:rsidRPr="008F0CDA">
              <w:t>wild goat</w:t>
            </w:r>
          </w:p>
          <w:p w:rsidR="00000000" w:rsidRPr="008F0CDA" w:rsidP="008F0CDA">
            <w:pPr>
              <w:pStyle w:val="ListBullet2"/>
            </w:pPr>
            <w:r w:rsidRPr="008F0CDA">
              <w:t>possum</w:t>
            </w:r>
          </w:p>
          <w:p w:rsidR="00000000" w:rsidRPr="008F0CDA" w:rsidP="008F0CDA">
            <w:pPr>
              <w:pStyle w:val="ListBullet2"/>
            </w:pPr>
            <w:r w:rsidRPr="008F0CDA">
              <w:t>rabbit</w:t>
            </w:r>
          </w:p>
          <w:p w:rsidR="00000000" w:rsidRPr="008F0CDA" w:rsidP="008F0CDA">
            <w:pPr>
              <w:pStyle w:val="ListBullet2"/>
            </w:pPr>
            <w:r w:rsidRPr="008F0CDA">
              <w:t>hare</w:t>
            </w:r>
          </w:p>
          <w:p w:rsidR="00000000" w:rsidP="008F0CDA">
            <w:pPr>
              <w:pStyle w:val="ListBullet2"/>
              <w:rPr>
                <w:lang w:val="en-NZ"/>
              </w:rPr>
            </w:pPr>
            <w:r w:rsidRPr="008F0CDA">
              <w:t>wild game birds.</w:t>
            </w:r>
          </w:p>
        </w:tc>
      </w:tr>
      <w:tr w:rsidTr="00D047E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BoldandItalics"/>
              </w:rPr>
              <w:t>Wild game meat products</w:t>
            </w:r>
            <w:r w:rsidRPr="008F0CDA">
              <w:t xml:space="preserve"> may include: </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ListBullet"/>
            </w:pPr>
            <w:r w:rsidRPr="008F0CDA">
              <w:t>meat for human consumption</w:t>
            </w:r>
          </w:p>
          <w:p w:rsidR="00000000" w:rsidRPr="008F0CDA" w:rsidP="008F0CDA">
            <w:pPr>
              <w:pStyle w:val="ListBullet"/>
            </w:pPr>
            <w:r w:rsidRPr="008F0CDA">
              <w:t>pet meat</w:t>
            </w:r>
          </w:p>
          <w:p w:rsidR="00000000" w:rsidP="008F0CDA">
            <w:pPr>
              <w:pStyle w:val="ListBullet"/>
              <w:rPr>
                <w:lang w:val="en-NZ"/>
              </w:rPr>
            </w:pPr>
            <w:r w:rsidRPr="008F0CDA">
              <w:t>processed skins and hides.</w:t>
            </w:r>
          </w:p>
        </w:tc>
      </w:tr>
      <w:tr w:rsidTr="00D047E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BoldandItalics"/>
              </w:rPr>
              <w:t>Customer expectations</w:t>
            </w:r>
            <w:r w:rsidRPr="008F0CDA">
              <w:t xml:space="preserve"> may include: </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ListBullet"/>
            </w:pPr>
            <w:r w:rsidRPr="008F0CDA">
              <w:t>animal welfare</w:t>
            </w:r>
          </w:p>
          <w:p w:rsidR="00000000" w:rsidRPr="008F0CDA" w:rsidP="008F0CDA">
            <w:pPr>
              <w:pStyle w:val="ListBullet"/>
            </w:pPr>
            <w:r w:rsidRPr="008F0CDA">
              <w:t>microbiological specifications</w:t>
            </w:r>
          </w:p>
          <w:p w:rsidR="00000000" w:rsidRPr="008F0CDA" w:rsidP="008F0CDA">
            <w:pPr>
              <w:pStyle w:val="ListBullet"/>
            </w:pPr>
            <w:r w:rsidRPr="008F0CDA">
              <w:t>social accountability</w:t>
            </w:r>
          </w:p>
          <w:p w:rsidR="00000000" w:rsidRPr="008F0CDA" w:rsidP="008F0CDA">
            <w:pPr>
              <w:pStyle w:val="ListBullet"/>
            </w:pPr>
            <w:r w:rsidRPr="008F0CDA">
              <w:t>sustainability</w:t>
            </w:r>
          </w:p>
          <w:p w:rsidR="00000000" w:rsidP="008F0CDA">
            <w:pPr>
              <w:pStyle w:val="BodyText"/>
              <w:rPr>
                <w:lang w:val="en-NZ"/>
              </w:rPr>
            </w:pPr>
            <w:r w:rsidRPr="008F0CDA">
              <w:t>environmental awareness.</w:t>
            </w:r>
          </w:p>
        </w:tc>
      </w:tr>
      <w:tr w:rsidTr="00D047E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BoldandItalics"/>
              </w:rPr>
              <w:t>Communication skills and styles</w:t>
            </w:r>
            <w:r w:rsidRPr="008F0CDA">
              <w:t xml:space="preserve"> may include: </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ListBullet"/>
            </w:pPr>
            <w:r w:rsidRPr="008F0CDA">
              <w:t>written reports and records</w:t>
            </w:r>
          </w:p>
          <w:p w:rsidR="00000000" w:rsidRPr="008F0CDA" w:rsidP="008F0CDA">
            <w:pPr>
              <w:pStyle w:val="ListBullet"/>
            </w:pPr>
            <w:r w:rsidRPr="008F0CDA">
              <w:t>electronic records</w:t>
            </w:r>
          </w:p>
          <w:p w:rsidR="00000000" w:rsidRPr="008F0CDA" w:rsidP="008F0CDA">
            <w:pPr>
              <w:pStyle w:val="ListBullet"/>
            </w:pPr>
            <w:r w:rsidRPr="008F0CDA">
              <w:t>establishing and using networks</w:t>
            </w:r>
          </w:p>
          <w:p w:rsidR="00000000" w:rsidRPr="008F0CDA" w:rsidP="008F0CDA">
            <w:pPr>
              <w:pStyle w:val="ListBullet"/>
            </w:pPr>
            <w:r w:rsidRPr="008F0CDA">
              <w:t>sharing information</w:t>
            </w:r>
          </w:p>
          <w:p w:rsidR="00000000" w:rsidRPr="008F0CDA" w:rsidP="008F0CDA">
            <w:pPr>
              <w:pStyle w:val="ListBullet"/>
            </w:pPr>
            <w:r w:rsidRPr="008F0CDA">
              <w:t>negotiation skills</w:t>
            </w:r>
          </w:p>
          <w:p w:rsidR="00000000" w:rsidRPr="008F0CDA" w:rsidP="008F0CDA">
            <w:pPr>
              <w:pStyle w:val="ListBullet"/>
            </w:pPr>
            <w:r w:rsidRPr="008F0CDA">
              <w:t>listening and understanding</w:t>
            </w:r>
          </w:p>
          <w:p w:rsidR="00000000" w:rsidRPr="008F0CDA" w:rsidP="008F0CDA">
            <w:pPr>
              <w:pStyle w:val="ListBullet"/>
            </w:pPr>
            <w:r w:rsidRPr="008F0CDA">
              <w:t>speaking clearly and directly</w:t>
            </w:r>
          </w:p>
          <w:p w:rsidR="00000000" w:rsidRPr="008F0CDA" w:rsidP="008F0CDA">
            <w:pPr>
              <w:pStyle w:val="ListBullet"/>
            </w:pPr>
            <w:r w:rsidRPr="008F0CDA">
              <w:t>giving descriptions and explanations.</w:t>
            </w:r>
          </w:p>
        </w:tc>
      </w:tr>
    </w:tbl>
    <w:p w:rsidR="00D047E7" w:rsidP="008F0CDA">
      <w:pPr>
        <w:pStyle w:val="BodyText"/>
      </w:pPr>
    </w:p>
    <w:p w:rsidR="00D047E7" w:rsidP="008F0CDA">
      <w:pPr>
        <w:pStyle w:val="BodyText"/>
      </w:pPr>
    </w:p>
    <w:p w:rsidR="00000000" w:rsidRPr="008F0CDA" w:rsidP="008F0CDA">
      <w:pPr>
        <w:pStyle w:val="Heading1"/>
      </w:pPr>
      <w:bookmarkStart w:id="12" w:name="O_213769"/>
      <w:bookmarkEnd w:id="12"/>
      <w:r w:rsidRPr="008F0CDA">
        <w:t>Unit Sector(s)</w:t>
      </w:r>
    </w:p>
    <w:tbl>
      <w:tblPr>
        <w:tblW w:w="0" w:type="auto"/>
        <w:tblLayout w:type="fixed"/>
        <w:tblCellMar>
          <w:left w:w="62" w:type="dxa"/>
          <w:right w:w="62" w:type="dxa"/>
        </w:tblCellMar>
        <w:tblLook w:val="0000"/>
      </w:tblPr>
      <w:tblGrid>
        <w:gridCol w:w="2654"/>
        <w:gridCol w:w="5868"/>
      </w:tblGrid>
      <w:tr w:rsidTr="00D047E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BodyText"/>
            </w:pPr>
          </w:p>
        </w:tc>
      </w:tr>
    </w:tbl>
    <w:p w:rsidR="00D047E7" w:rsidP="008F0CDA">
      <w:pPr>
        <w:pStyle w:val="BodyText"/>
      </w:pPr>
    </w:p>
    <w:p w:rsidR="00D047E7" w:rsidP="008F0CDA">
      <w:pPr>
        <w:pStyle w:val="BodyText"/>
      </w:pPr>
    </w:p>
    <w:p w:rsidR="00000000" w:rsidRPr="008F0CDA" w:rsidP="008F0CDA">
      <w:pPr>
        <w:pStyle w:val="Heading1"/>
      </w:pPr>
      <w:bookmarkStart w:id="13" w:name="O_213766"/>
      <w:bookmarkEnd w:id="13"/>
      <w:r w:rsidRPr="008F0CDA">
        <w:t>Co-requisite units</w:t>
      </w:r>
    </w:p>
    <w:tbl>
      <w:tblPr>
        <w:tblW w:w="0" w:type="auto"/>
        <w:tblLayout w:type="fixed"/>
        <w:tblCellMar>
          <w:left w:w="62" w:type="dxa"/>
          <w:right w:w="62" w:type="dxa"/>
        </w:tblCellMar>
        <w:tblLook w:val="0000"/>
      </w:tblPr>
      <w:tblGrid>
        <w:gridCol w:w="2641"/>
        <w:gridCol w:w="1322"/>
        <w:gridCol w:w="4559"/>
      </w:tblGrid>
      <w:tr w:rsidTr="00D047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p>
        </w:tc>
      </w:tr>
      <w:tr w:rsidTr="00D047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p>
        </w:tc>
      </w:tr>
      <w:tr w:rsidTr="00D047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BodyText"/>
            </w:pPr>
          </w:p>
        </w:tc>
      </w:tr>
    </w:tbl>
    <w:p w:rsidR="00D047E7" w:rsidP="008F0CDA">
      <w:pPr>
        <w:pStyle w:val="BodyText"/>
      </w:pPr>
    </w:p>
    <w:p w:rsidR="00D047E7" w:rsidP="008F0CDA">
      <w:pPr>
        <w:pStyle w:val="BodyText"/>
      </w:pPr>
    </w:p>
    <w:p w:rsidR="00000000" w:rsidRPr="008F0CDA" w:rsidP="008F0CDA">
      <w:pPr>
        <w:pStyle w:val="Heading1"/>
      </w:pPr>
      <w:bookmarkStart w:id="14" w:name="O_213768"/>
      <w:bookmarkEnd w:id="14"/>
      <w:r w:rsidRPr="008F0CDA">
        <w:t>Competency field</w:t>
      </w:r>
    </w:p>
    <w:tbl>
      <w:tblPr>
        <w:tblW w:w="0" w:type="auto"/>
        <w:tblLayout w:type="fixed"/>
        <w:tblCellMar>
          <w:left w:w="62" w:type="dxa"/>
          <w:right w:w="62" w:type="dxa"/>
        </w:tblCellMar>
        <w:tblLook w:val="0000"/>
      </w:tblPr>
      <w:tblGrid>
        <w:gridCol w:w="2784"/>
        <w:gridCol w:w="5738"/>
      </w:tblGrid>
      <w:tr w:rsidTr="00D047E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DA">
            <w:pPr>
              <w:pStyle w:val="BodyText"/>
              <w:rPr>
                <w:lang w:val="en-NZ"/>
              </w:rPr>
            </w:pPr>
            <w:r w:rsidRPr="008F0CD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DA" w:rsidP="008F0CDA">
            <w:pPr>
              <w:pStyle w:val="BodyText"/>
            </w:pPr>
          </w:p>
        </w:tc>
      </w:tr>
    </w:tbl>
    <w:p w:rsidR="00D047E7" w:rsidP="008F0CDA">
      <w:pPr>
        <w:pStyle w:val="BodyText"/>
      </w:pPr>
    </w:p>
    <w:p w:rsidR="00D047E7" w:rsidP="008F0CDA">
      <w:pPr>
        <w:pStyle w:val="BodyText"/>
      </w:pPr>
    </w:p>
    <w:p w:rsidR="00000000" w:rsidRPr="008F0CDA" w:rsidP="008F0CDA"/>
    <w:sectPr w:rsidSect="008F0C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47E7" w:rsidP="00D047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E7" w:rsidP="008F0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47E7" w:rsidP="008F0C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047E7" w:rsidP="008F0C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47E7" w:rsidP="00D047E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E7" w:rsidP="008F0CDA">
    <w:pPr>
      <w:pStyle w:val="Header"/>
      <w:framePr w:wrap="around"/>
    </w:pPr>
    <w:r>
      <w:fldChar w:fldCharType="begin"/>
    </w:r>
    <w:r>
      <w:instrText xml:space="preserve"> TITLE   \* MERGEFORMAT </w:instrText>
    </w:r>
    <w:r>
      <w:fldChar w:fldCharType="separate"/>
    </w:r>
    <w:r>
      <w:t>MTMG300A Overview wild game meat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47E7" w:rsidP="008F0C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4CFB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D4B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A255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C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0CDA"/>
    <w:pPr>
      <w:spacing w:before="360" w:after="60"/>
      <w:outlineLvl w:val="0"/>
    </w:pPr>
    <w:rPr>
      <w:sz w:val="32"/>
    </w:rPr>
  </w:style>
  <w:style w:type="paragraph" w:styleId="Heading2">
    <w:name w:val="heading 2"/>
    <w:basedOn w:val="HeadingBase"/>
    <w:next w:val="BodyText"/>
    <w:link w:val="Heading2Char"/>
    <w:qFormat/>
    <w:rsid w:val="008F0CDA"/>
    <w:pPr>
      <w:keepLines/>
      <w:spacing w:before="240" w:after="120"/>
      <w:outlineLvl w:val="1"/>
    </w:pPr>
    <w:rPr>
      <w:sz w:val="28"/>
      <w:szCs w:val="40"/>
    </w:rPr>
  </w:style>
  <w:style w:type="paragraph" w:styleId="Heading3">
    <w:name w:val="heading 3"/>
    <w:basedOn w:val="HeadingBase"/>
    <w:next w:val="BodyText"/>
    <w:link w:val="Heading3Char"/>
    <w:qFormat/>
    <w:rsid w:val="008F0CDA"/>
    <w:pPr>
      <w:spacing w:before="180" w:after="120"/>
      <w:outlineLvl w:val="2"/>
    </w:pPr>
    <w:rPr>
      <w:spacing w:val="-10"/>
      <w:kern w:val="32"/>
    </w:rPr>
  </w:style>
  <w:style w:type="paragraph" w:styleId="Heading4">
    <w:name w:val="heading 4"/>
    <w:basedOn w:val="HeadingBase"/>
    <w:next w:val="BodyText"/>
    <w:link w:val="Heading4Char"/>
    <w:qFormat/>
    <w:rsid w:val="008F0CDA"/>
    <w:pPr>
      <w:spacing w:before="160" w:after="120"/>
      <w:outlineLvl w:val="3"/>
    </w:pPr>
    <w:rPr>
      <w:sz w:val="22"/>
    </w:rPr>
  </w:style>
  <w:style w:type="paragraph" w:styleId="Heading5">
    <w:name w:val="heading 5"/>
    <w:basedOn w:val="HeadingBase"/>
    <w:next w:val="Normal"/>
    <w:link w:val="Heading5Char"/>
    <w:qFormat/>
    <w:rsid w:val="008F0CDA"/>
    <w:pPr>
      <w:spacing w:before="80"/>
      <w:outlineLvl w:val="4"/>
    </w:pPr>
    <w:rPr>
      <w:color w:val="918585"/>
      <w:sz w:val="20"/>
    </w:rPr>
  </w:style>
  <w:style w:type="paragraph" w:styleId="Heading6">
    <w:name w:val="heading 6"/>
    <w:basedOn w:val="HeadingBase"/>
    <w:next w:val="Normal"/>
    <w:link w:val="Heading6Char"/>
    <w:qFormat/>
    <w:rsid w:val="008F0CDA"/>
    <w:pPr>
      <w:spacing w:before="60"/>
      <w:outlineLvl w:val="5"/>
    </w:pPr>
    <w:rPr>
      <w:color w:val="918585"/>
      <w:sz w:val="20"/>
    </w:rPr>
  </w:style>
  <w:style w:type="paragraph" w:styleId="Heading7">
    <w:name w:val="heading 7"/>
    <w:basedOn w:val="Normal"/>
    <w:next w:val="Normal"/>
    <w:link w:val="Heading7Char"/>
    <w:qFormat/>
    <w:rsid w:val="008F0CDA"/>
    <w:pPr>
      <w:ind w:left="720"/>
      <w:outlineLvl w:val="6"/>
    </w:pPr>
    <w:rPr>
      <w:i/>
    </w:rPr>
  </w:style>
  <w:style w:type="paragraph" w:styleId="Heading8">
    <w:name w:val="heading 8"/>
    <w:basedOn w:val="Normal"/>
    <w:next w:val="Normal"/>
    <w:link w:val="Heading8Char"/>
    <w:qFormat/>
    <w:rsid w:val="008F0CDA"/>
    <w:pPr>
      <w:ind w:left="720"/>
      <w:outlineLvl w:val="7"/>
    </w:pPr>
    <w:rPr>
      <w:i/>
    </w:rPr>
  </w:style>
  <w:style w:type="paragraph" w:styleId="Heading9">
    <w:name w:val="heading 9"/>
    <w:basedOn w:val="Normal"/>
    <w:next w:val="Normal"/>
    <w:link w:val="Heading9Char"/>
    <w:qFormat/>
    <w:rsid w:val="008F0CDA"/>
    <w:pPr>
      <w:ind w:left="720"/>
      <w:outlineLvl w:val="8"/>
    </w:pPr>
    <w:rPr>
      <w:i/>
    </w:rPr>
  </w:style>
  <w:style w:type="character" w:default="1" w:styleId="DefaultParagraphFont">
    <w:name w:val="Default Paragraph Font"/>
    <w:uiPriority w:val="1"/>
    <w:unhideWhenUsed/>
    <w:rsid w:val="008F0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CDA"/>
  </w:style>
  <w:style w:type="character" w:customStyle="1" w:styleId="Heading1Char">
    <w:name w:val="Heading 1 Char"/>
    <w:link w:val="Heading1"/>
    <w:rsid w:val="008F0CDA"/>
    <w:rPr>
      <w:rFonts w:ascii="Times New Roman" w:eastAsia="Times New Roman" w:hAnsi="Times New Roman" w:cs="Times New Roman"/>
      <w:b/>
      <w:sz w:val="32"/>
      <w:szCs w:val="20"/>
      <w:lang w:eastAsia="en-US"/>
    </w:rPr>
  </w:style>
  <w:style w:type="paragraph" w:styleId="BodyText">
    <w:name w:val="Body Text"/>
    <w:basedOn w:val="Normal"/>
    <w:link w:val="BodyTextChar"/>
    <w:rsid w:val="008F0CDA"/>
    <w:pPr>
      <w:spacing w:before="120" w:after="120"/>
      <w:contextualSpacing/>
    </w:pPr>
    <w:rPr>
      <w:rFonts w:ascii="Times New Roman" w:hAnsi="Times New Roman"/>
      <w:sz w:val="24"/>
      <w:szCs w:val="22"/>
    </w:rPr>
  </w:style>
  <w:style w:type="character" w:customStyle="1" w:styleId="BodyTextChar">
    <w:name w:val="Body Text Char"/>
    <w:link w:val="BodyText"/>
    <w:rsid w:val="008F0CDA"/>
    <w:rPr>
      <w:rFonts w:ascii="Times New Roman" w:eastAsia="Times New Roman" w:hAnsi="Times New Roman" w:cs="Times New Roman"/>
      <w:sz w:val="24"/>
      <w:lang w:val="en-US" w:eastAsia="en-US"/>
    </w:rPr>
  </w:style>
  <w:style w:type="paragraph" w:styleId="Footer">
    <w:name w:val="footer"/>
    <w:basedOn w:val="Normal"/>
    <w:link w:val="FooterChar"/>
    <w:rsid w:val="008F0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F0CDA"/>
    <w:rPr>
      <w:rFonts w:ascii="Times New Roman" w:eastAsia="Times New Roman" w:hAnsi="Times New Roman" w:cs="Times New Roman"/>
      <w:sz w:val="16"/>
      <w:lang w:val="en-US" w:eastAsia="en-US"/>
    </w:rPr>
  </w:style>
  <w:style w:type="paragraph" w:styleId="List">
    <w:name w:val="List"/>
    <w:basedOn w:val="BodyText"/>
    <w:next w:val="BodyText"/>
    <w:rsid w:val="008F0CDA"/>
    <w:pPr>
      <w:tabs>
        <w:tab w:val="left" w:pos="340"/>
      </w:tabs>
      <w:spacing w:before="60" w:after="60"/>
      <w:ind w:left="340" w:hanging="340"/>
    </w:pPr>
  </w:style>
  <w:style w:type="paragraph" w:styleId="ListBullet">
    <w:name w:val="List Bullet"/>
    <w:basedOn w:val="List"/>
    <w:rsid w:val="008F0CDA"/>
    <w:pPr>
      <w:numPr>
        <w:numId w:val="13"/>
      </w:numPr>
      <w:tabs>
        <w:tab w:val="clear" w:pos="340"/>
      </w:tabs>
      <w:spacing w:before="40" w:after="40"/>
    </w:pPr>
  </w:style>
  <w:style w:type="character" w:customStyle="1" w:styleId="SpecialBold">
    <w:name w:val="Special Bold"/>
    <w:rsid w:val="008F0CDA"/>
    <w:rPr>
      <w:b/>
      <w:spacing w:val="0"/>
    </w:rPr>
  </w:style>
  <w:style w:type="paragraph" w:styleId="ListBullet2">
    <w:name w:val="List Bullet 2"/>
    <w:basedOn w:val="List2"/>
    <w:rsid w:val="008F0CDA"/>
    <w:pPr>
      <w:numPr>
        <w:numId w:val="14"/>
      </w:numPr>
      <w:tabs>
        <w:tab w:val="clear" w:pos="680"/>
      </w:tabs>
    </w:pPr>
  </w:style>
  <w:style w:type="paragraph" w:styleId="Header">
    <w:name w:val="header"/>
    <w:basedOn w:val="Normal"/>
    <w:link w:val="HeaderChar"/>
    <w:rsid w:val="008F0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F0C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0CDA"/>
    <w:pPr>
      <w:spacing w:before="240" w:after="120"/>
      <w:outlineLvl w:val="0"/>
    </w:pPr>
    <w:rPr>
      <w:rFonts w:ascii="Times New Roman" w:hAnsi="Times New Roman"/>
      <w:b/>
      <w:sz w:val="28"/>
    </w:rPr>
  </w:style>
  <w:style w:type="paragraph" w:customStyle="1" w:styleId="AllowPageBreak">
    <w:name w:val="AllowPageBreak"/>
    <w:rsid w:val="008F0C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0CDA"/>
    <w:pPr>
      <w:tabs>
        <w:tab w:val="left" w:pos="680"/>
      </w:tabs>
      <w:spacing w:before="60" w:after="60"/>
      <w:ind w:left="680" w:hanging="340"/>
    </w:pPr>
  </w:style>
  <w:style w:type="character" w:customStyle="1" w:styleId="Underline">
    <w:name w:val="Underline"/>
    <w:qFormat/>
    <w:rsid w:val="008F0CDA"/>
    <w:rPr>
      <w:u w:val="single"/>
    </w:rPr>
  </w:style>
  <w:style w:type="character" w:customStyle="1" w:styleId="BoldandItalics">
    <w:name w:val="Bold and Italics"/>
    <w:qFormat/>
    <w:rsid w:val="008F0CDA"/>
    <w:rPr>
      <w:b/>
      <w:i/>
      <w:u w:val="none"/>
    </w:rPr>
  </w:style>
  <w:style w:type="character" w:customStyle="1" w:styleId="Heading2Char">
    <w:name w:val="Heading 2 Char"/>
    <w:link w:val="Heading2"/>
    <w:rsid w:val="008F0CDA"/>
    <w:rPr>
      <w:rFonts w:ascii="Times New Roman" w:eastAsia="Times New Roman" w:hAnsi="Times New Roman" w:cs="Times New Roman"/>
      <w:b/>
      <w:sz w:val="28"/>
      <w:szCs w:val="40"/>
      <w:lang w:eastAsia="en-US"/>
    </w:rPr>
  </w:style>
  <w:style w:type="character" w:customStyle="1" w:styleId="Heading3Char">
    <w:name w:val="Heading 3 Char"/>
    <w:link w:val="Heading3"/>
    <w:rsid w:val="008F0CD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F0CDA"/>
    <w:rPr>
      <w:rFonts w:ascii="Times New Roman" w:eastAsia="Times New Roman" w:hAnsi="Times New Roman" w:cs="Times New Roman"/>
      <w:b/>
      <w:szCs w:val="20"/>
      <w:lang w:eastAsia="en-US"/>
    </w:rPr>
  </w:style>
  <w:style w:type="character" w:customStyle="1" w:styleId="Heading5Char">
    <w:name w:val="Heading 5 Char"/>
    <w:link w:val="Heading5"/>
    <w:rsid w:val="008F0CD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F0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C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0C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0CDA"/>
    <w:rPr>
      <w:rFonts w:ascii="Courier New" w:eastAsia="Times New Roman" w:hAnsi="Courier New" w:cs="Times New Roman"/>
      <w:i/>
      <w:szCs w:val="20"/>
      <w:lang w:val="en-US" w:eastAsia="en-US"/>
    </w:rPr>
  </w:style>
  <w:style w:type="paragraph" w:customStyle="1" w:styleId="HeadingBase">
    <w:name w:val="Heading Base"/>
    <w:rsid w:val="008F0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CDA"/>
    <w:pPr>
      <w:tabs>
        <w:tab w:val="right" w:leader="dot" w:pos="9072"/>
      </w:tabs>
      <w:ind w:left="567"/>
    </w:pPr>
    <w:rPr>
      <w:szCs w:val="22"/>
    </w:rPr>
  </w:style>
  <w:style w:type="paragraph" w:customStyle="1" w:styleId="TOCBase">
    <w:name w:val="TOC Base"/>
    <w:rsid w:val="008F0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CDA"/>
    <w:pPr>
      <w:tabs>
        <w:tab w:val="right" w:leader="dot" w:pos="9072"/>
      </w:tabs>
      <w:spacing w:before="40" w:after="40"/>
      <w:ind w:left="284"/>
    </w:pPr>
    <w:rPr>
      <w:rFonts w:ascii="Times New Roman" w:hAnsi="Times New Roman"/>
    </w:rPr>
  </w:style>
  <w:style w:type="paragraph" w:styleId="TOC1">
    <w:name w:val="toc 1"/>
    <w:basedOn w:val="TOCBase"/>
    <w:next w:val="Normal"/>
    <w:rsid w:val="008F0C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0CDA"/>
    <w:pPr>
      <w:spacing w:before="5040"/>
      <w:jc w:val="center"/>
    </w:pPr>
    <w:rPr>
      <w:sz w:val="48"/>
      <w:szCs w:val="72"/>
      <w:lang w:val="en-US"/>
    </w:rPr>
  </w:style>
  <w:style w:type="character" w:customStyle="1" w:styleId="TitleChar">
    <w:name w:val="Title Char"/>
    <w:link w:val="Title"/>
    <w:rsid w:val="008F0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CDA"/>
    <w:pPr>
      <w:tabs>
        <w:tab w:val="left" w:pos="3600"/>
        <w:tab w:val="left" w:pos="3958"/>
      </w:tabs>
    </w:pPr>
  </w:style>
  <w:style w:type="paragraph" w:customStyle="1" w:styleId="Note">
    <w:name w:val="Note"/>
    <w:basedOn w:val="BodyText"/>
    <w:rsid w:val="008F0C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CDA"/>
    <w:pPr>
      <w:framePr w:wrap="auto" w:hAnchor="text" w:y="6049"/>
    </w:pPr>
    <w:rPr>
      <w:color w:val="000000"/>
      <w:sz w:val="40"/>
    </w:rPr>
  </w:style>
  <w:style w:type="paragraph" w:customStyle="1" w:styleId="TOCTitle">
    <w:name w:val="TOCTitle"/>
    <w:basedOn w:val="Heading1"/>
    <w:rsid w:val="008F0CDA"/>
    <w:pPr>
      <w:spacing w:after="240"/>
      <w:jc w:val="center"/>
      <w:outlineLvl w:val="9"/>
    </w:pPr>
    <w:rPr>
      <w:caps/>
    </w:rPr>
  </w:style>
  <w:style w:type="paragraph" w:customStyle="1" w:styleId="Version">
    <w:name w:val="Version"/>
    <w:rsid w:val="008F0C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0CDA"/>
    <w:pPr>
      <w:keepNext w:val="0"/>
      <w:tabs>
        <w:tab w:val="right" w:pos="4176"/>
      </w:tabs>
      <w:ind w:left="198" w:hanging="198"/>
    </w:pPr>
    <w:rPr>
      <w:rFonts w:ascii="Garamond" w:hAnsi="Garamond"/>
    </w:rPr>
  </w:style>
  <w:style w:type="paragraph" w:styleId="IndexHeading">
    <w:name w:val="index heading"/>
    <w:basedOn w:val="Normal"/>
    <w:next w:val="Index1"/>
    <w:semiHidden/>
    <w:rsid w:val="008F0CDA"/>
    <w:pPr>
      <w:spacing w:before="120" w:after="120"/>
    </w:pPr>
    <w:rPr>
      <w:rFonts w:ascii="Arial" w:hAnsi="Arial"/>
      <w:b/>
      <w:color w:val="918585"/>
      <w:sz w:val="24"/>
    </w:rPr>
  </w:style>
  <w:style w:type="paragraph" w:customStyle="1" w:styleId="Chapter">
    <w:name w:val="Chapter"/>
    <w:basedOn w:val="Normal"/>
    <w:rsid w:val="008F0CDA"/>
    <w:pPr>
      <w:spacing w:before="240"/>
    </w:pPr>
    <w:rPr>
      <w:rFonts w:ascii="Times New Roman" w:hAnsi="Times New Roman"/>
      <w:smallCaps/>
      <w:spacing w:val="80"/>
      <w:sz w:val="28"/>
    </w:rPr>
  </w:style>
  <w:style w:type="paragraph" w:customStyle="1" w:styleId="InChapter">
    <w:name w:val="InChapter"/>
    <w:basedOn w:val="Heading3"/>
    <w:rsid w:val="008F0CDA"/>
    <w:pPr>
      <w:spacing w:after="240"/>
      <w:outlineLvl w:val="9"/>
    </w:pPr>
    <w:rPr>
      <w:noProof/>
    </w:rPr>
  </w:style>
  <w:style w:type="paragraph" w:styleId="Index2">
    <w:name w:val="index 2"/>
    <w:basedOn w:val="Normal"/>
    <w:next w:val="Normal"/>
    <w:semiHidden/>
    <w:rsid w:val="008F0CDA"/>
    <w:pPr>
      <w:tabs>
        <w:tab w:val="right" w:pos="4176"/>
      </w:tabs>
      <w:ind w:left="568" w:hanging="284"/>
    </w:pPr>
    <w:rPr>
      <w:rFonts w:ascii="Garamond" w:hAnsi="Garamond"/>
    </w:rPr>
  </w:style>
  <w:style w:type="paragraph" w:customStyle="1" w:styleId="Byline">
    <w:name w:val="Byline"/>
    <w:rsid w:val="008F0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CDA"/>
    <w:pPr>
      <w:tabs>
        <w:tab w:val="clear" w:pos="3600"/>
        <w:tab w:val="clear" w:pos="3958"/>
      </w:tabs>
      <w:jc w:val="right"/>
    </w:pPr>
  </w:style>
  <w:style w:type="character" w:styleId="Emphasis">
    <w:name w:val="Emphasis"/>
    <w:qFormat/>
    <w:rsid w:val="008F0CDA"/>
    <w:rPr>
      <w:i/>
    </w:rPr>
  </w:style>
  <w:style w:type="paragraph" w:styleId="Caption">
    <w:name w:val="caption"/>
    <w:basedOn w:val="BodyText"/>
    <w:next w:val="Normal"/>
    <w:qFormat/>
    <w:rsid w:val="008F0CDA"/>
    <w:pPr>
      <w:framePr w:w="2268" w:hSpace="181" w:vSpace="181" w:wrap="around" w:vAnchor="text" w:hAnchor="page" w:x="1135" w:y="285" w:anchorLock="1"/>
    </w:pPr>
    <w:rPr>
      <w:i/>
    </w:rPr>
  </w:style>
  <w:style w:type="paragraph" w:customStyle="1" w:styleId="MiniTOCTitle">
    <w:name w:val="MiniTOCTitle"/>
    <w:basedOn w:val="Heading4"/>
    <w:rsid w:val="008F0CDA"/>
    <w:pPr>
      <w:spacing w:before="240"/>
      <w:outlineLvl w:val="9"/>
    </w:pPr>
    <w:rPr>
      <w:noProof/>
      <w:sz w:val="24"/>
    </w:rPr>
  </w:style>
  <w:style w:type="paragraph" w:customStyle="1" w:styleId="MiniTOCItem">
    <w:name w:val="MiniTOCItem"/>
    <w:basedOn w:val="ListBullet"/>
    <w:rsid w:val="008F0CDA"/>
    <w:pPr>
      <w:numPr>
        <w:numId w:val="0"/>
      </w:numPr>
      <w:tabs>
        <w:tab w:val="right" w:leader="dot" w:pos="6521"/>
      </w:tabs>
      <w:spacing w:before="0" w:after="0"/>
    </w:pPr>
  </w:style>
  <w:style w:type="paragraph" w:customStyle="1" w:styleId="TOFTitle">
    <w:name w:val="TOFTitle"/>
    <w:basedOn w:val="TOCTitle"/>
    <w:rsid w:val="008F0CDA"/>
  </w:style>
  <w:style w:type="paragraph" w:styleId="TableofFigures">
    <w:name w:val="table of figures"/>
    <w:basedOn w:val="Normal"/>
    <w:next w:val="Normal"/>
    <w:semiHidden/>
    <w:rsid w:val="008F0CDA"/>
    <w:pPr>
      <w:tabs>
        <w:tab w:val="right" w:leader="dot" w:pos="9072"/>
      </w:tabs>
      <w:ind w:left="970" w:hanging="403"/>
    </w:pPr>
    <w:rPr>
      <w:rFonts w:ascii="Times New Roman" w:hAnsi="Times New Roman"/>
      <w:b/>
    </w:rPr>
  </w:style>
  <w:style w:type="paragraph" w:styleId="ListNumber">
    <w:name w:val="List Number"/>
    <w:basedOn w:val="List"/>
    <w:rsid w:val="008F0CDA"/>
    <w:pPr>
      <w:numPr>
        <w:numId w:val="11"/>
      </w:numPr>
    </w:pPr>
  </w:style>
  <w:style w:type="character" w:customStyle="1" w:styleId="WingdingSymbols">
    <w:name w:val="Wingding Symbols"/>
    <w:rsid w:val="008F0CDA"/>
    <w:rPr>
      <w:rFonts w:ascii="Wingdings" w:hAnsi="Wingdings"/>
    </w:rPr>
  </w:style>
  <w:style w:type="paragraph" w:customStyle="1" w:styleId="TableHeading">
    <w:name w:val="Table Heading"/>
    <w:basedOn w:val="HeadingBase"/>
    <w:rsid w:val="008F0CDA"/>
    <w:pPr>
      <w:keepLines/>
      <w:pBdr>
        <w:bottom w:val="single" w:sz="6" w:space="1" w:color="918585"/>
      </w:pBdr>
      <w:spacing w:before="240"/>
    </w:pPr>
  </w:style>
  <w:style w:type="character" w:customStyle="1" w:styleId="HotSpot">
    <w:name w:val="HotSpot"/>
    <w:rsid w:val="008F0CDA"/>
    <w:rPr>
      <w:color w:val="0033CC"/>
      <w:u w:val="none"/>
    </w:rPr>
  </w:style>
  <w:style w:type="paragraph" w:customStyle="1" w:styleId="BodyTextRight">
    <w:name w:val="Body Text Right"/>
    <w:basedOn w:val="BodyText"/>
    <w:rsid w:val="008F0CDA"/>
    <w:pPr>
      <w:spacing w:before="0" w:after="0"/>
      <w:jc w:val="right"/>
    </w:pPr>
  </w:style>
  <w:style w:type="paragraph" w:styleId="Index3">
    <w:name w:val="index 3"/>
    <w:basedOn w:val="ListNumber2"/>
    <w:next w:val="Normal"/>
    <w:semiHidden/>
    <w:rsid w:val="008F0CDA"/>
    <w:pPr>
      <w:numPr>
        <w:numId w:val="0"/>
      </w:numPr>
      <w:tabs>
        <w:tab w:val="right" w:leader="dot" w:pos="4176"/>
      </w:tabs>
    </w:pPr>
  </w:style>
  <w:style w:type="paragraph" w:styleId="ListNumber2">
    <w:name w:val="List Number 2"/>
    <w:basedOn w:val="List2"/>
    <w:rsid w:val="008F0CDA"/>
    <w:pPr>
      <w:numPr>
        <w:numId w:val="10"/>
      </w:numPr>
      <w:tabs>
        <w:tab w:val="clear" w:pos="1060"/>
      </w:tabs>
    </w:pPr>
  </w:style>
  <w:style w:type="paragraph" w:customStyle="1" w:styleId="MarginNote">
    <w:name w:val="Margin Note"/>
    <w:basedOn w:val="BodyText"/>
    <w:rsid w:val="008F0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F0C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0CDA"/>
    <w:rPr>
      <w:sz w:val="32"/>
    </w:rPr>
  </w:style>
  <w:style w:type="paragraph" w:customStyle="1" w:styleId="HeadingProcedure">
    <w:name w:val="Heading Procedure"/>
    <w:basedOn w:val="HeadingBase"/>
    <w:next w:val="Normal"/>
    <w:rsid w:val="008F0CDA"/>
    <w:pPr>
      <w:tabs>
        <w:tab w:val="left" w:pos="0"/>
      </w:tabs>
      <w:spacing w:before="120" w:after="60"/>
    </w:pPr>
    <w:rPr>
      <w:i/>
      <w:color w:val="918585"/>
      <w:sz w:val="22"/>
    </w:rPr>
  </w:style>
  <w:style w:type="paragraph" w:customStyle="1" w:styleId="TableBodyText">
    <w:name w:val="Table Body Text"/>
    <w:basedOn w:val="BodyText"/>
    <w:rsid w:val="008F0CDA"/>
    <w:pPr>
      <w:spacing w:before="60" w:after="60"/>
    </w:pPr>
  </w:style>
  <w:style w:type="paragraph" w:styleId="ListContinue">
    <w:name w:val="List Continue"/>
    <w:basedOn w:val="List"/>
    <w:rsid w:val="008F0CDA"/>
    <w:pPr>
      <w:ind w:firstLine="0"/>
    </w:pPr>
  </w:style>
  <w:style w:type="paragraph" w:customStyle="1" w:styleId="ListNote">
    <w:name w:val="List Note"/>
    <w:basedOn w:val="List"/>
    <w:rsid w:val="008F0CDA"/>
    <w:pPr>
      <w:pBdr>
        <w:top w:val="single" w:sz="6" w:space="2" w:color="918585"/>
        <w:bottom w:val="single" w:sz="6" w:space="2" w:color="918585"/>
      </w:pBdr>
      <w:tabs>
        <w:tab w:val="left" w:pos="1021"/>
      </w:tabs>
      <w:ind w:firstLine="0"/>
    </w:pPr>
  </w:style>
  <w:style w:type="paragraph" w:customStyle="1" w:styleId="Warning">
    <w:name w:val="Warning"/>
    <w:basedOn w:val="BodyText"/>
    <w:rsid w:val="008F0CDA"/>
    <w:pPr>
      <w:shd w:val="clear" w:color="auto" w:fill="D9D9D9"/>
      <w:tabs>
        <w:tab w:val="left" w:pos="992"/>
      </w:tabs>
      <w:ind w:left="119" w:right="119"/>
    </w:pPr>
    <w:rPr>
      <w:sz w:val="20"/>
    </w:rPr>
  </w:style>
  <w:style w:type="paragraph" w:customStyle="1" w:styleId="MarginIcons">
    <w:name w:val="Margin Icons"/>
    <w:basedOn w:val="BodyText"/>
    <w:rsid w:val="008F0CD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F0CDA"/>
    <w:rPr>
      <w:rFonts w:ascii="Courier New" w:hAnsi="Courier New"/>
    </w:rPr>
  </w:style>
  <w:style w:type="paragraph" w:customStyle="1" w:styleId="NoteBullet">
    <w:name w:val="Note Bullet"/>
    <w:basedOn w:val="Note"/>
    <w:rsid w:val="008F0CDA"/>
    <w:pPr>
      <w:tabs>
        <w:tab w:val="clear" w:pos="680"/>
      </w:tabs>
      <w:spacing w:before="60" w:after="60"/>
    </w:pPr>
  </w:style>
  <w:style w:type="paragraph" w:customStyle="1" w:styleId="SubHeading2">
    <w:name w:val="SubHeading2"/>
    <w:basedOn w:val="HeadingBase"/>
    <w:rsid w:val="008F0CDA"/>
    <w:pPr>
      <w:spacing w:before="240" w:after="60"/>
    </w:pPr>
    <w:rPr>
      <w:sz w:val="20"/>
    </w:rPr>
  </w:style>
  <w:style w:type="paragraph" w:customStyle="1" w:styleId="SubHeading1">
    <w:name w:val="SubHeading1"/>
    <w:basedOn w:val="HeadingBase"/>
    <w:rsid w:val="008F0CDA"/>
    <w:pPr>
      <w:spacing w:before="240" w:after="60"/>
    </w:pPr>
    <w:rPr>
      <w:color w:val="918585"/>
      <w:sz w:val="22"/>
    </w:rPr>
  </w:style>
  <w:style w:type="paragraph" w:customStyle="1" w:styleId="SideHeading">
    <w:name w:val="Side Heading"/>
    <w:basedOn w:val="HeadingBase"/>
    <w:rsid w:val="008F0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CDA"/>
    <w:pPr>
      <w:numPr>
        <w:numId w:val="12"/>
      </w:numPr>
    </w:pPr>
  </w:style>
  <w:style w:type="paragraph" w:styleId="PlainText">
    <w:name w:val="Plain Text"/>
    <w:basedOn w:val="Normal"/>
    <w:link w:val="PlainTextChar"/>
    <w:rsid w:val="008F0CDA"/>
    <w:rPr>
      <w:sz w:val="20"/>
    </w:rPr>
  </w:style>
  <w:style w:type="character" w:customStyle="1" w:styleId="PlainTextChar">
    <w:name w:val="Plain Text Char"/>
    <w:basedOn w:val="DefaultParagraphFont"/>
    <w:link w:val="PlainText"/>
    <w:rsid w:val="008F0CDA"/>
    <w:rPr>
      <w:rFonts w:ascii="Courier New" w:eastAsia="Times New Roman" w:hAnsi="Courier New" w:cs="Times New Roman"/>
      <w:sz w:val="20"/>
      <w:szCs w:val="20"/>
      <w:lang w:val="en-US" w:eastAsia="en-US"/>
    </w:rPr>
  </w:style>
  <w:style w:type="character" w:customStyle="1" w:styleId="MenuOption">
    <w:name w:val="Menu Option"/>
    <w:rsid w:val="008F0CDA"/>
    <w:rPr>
      <w:b/>
      <w:smallCaps/>
    </w:rPr>
  </w:style>
  <w:style w:type="paragraph" w:customStyle="1" w:styleId="TableListNumber">
    <w:name w:val="Table List Number"/>
    <w:basedOn w:val="ListNumber"/>
    <w:rsid w:val="008F0CDA"/>
    <w:pPr>
      <w:numPr>
        <w:numId w:val="0"/>
      </w:numPr>
    </w:pPr>
  </w:style>
  <w:style w:type="paragraph" w:styleId="TOC4">
    <w:name w:val="toc 4"/>
    <w:basedOn w:val="TOCBase"/>
    <w:next w:val="Normal"/>
    <w:semiHidden/>
    <w:rsid w:val="008F0CDA"/>
    <w:pPr>
      <w:tabs>
        <w:tab w:val="right" w:leader="dot" w:pos="9071"/>
      </w:tabs>
      <w:ind w:left="1701"/>
    </w:pPr>
  </w:style>
  <w:style w:type="paragraph" w:customStyle="1" w:styleId="ListAlpha">
    <w:name w:val="List Alpha"/>
    <w:basedOn w:val="List"/>
    <w:rsid w:val="008F0CDA"/>
    <w:pPr>
      <w:numPr>
        <w:numId w:val="9"/>
      </w:numPr>
    </w:pPr>
  </w:style>
  <w:style w:type="paragraph" w:customStyle="1" w:styleId="ListAlpha2">
    <w:name w:val="List Alpha 2"/>
    <w:basedOn w:val="List2"/>
    <w:rsid w:val="008F0CDA"/>
    <w:pPr>
      <w:numPr>
        <w:numId w:val="8"/>
      </w:numPr>
    </w:pPr>
  </w:style>
  <w:style w:type="paragraph" w:styleId="List3">
    <w:name w:val="List 3"/>
    <w:basedOn w:val="BodyText"/>
    <w:rsid w:val="008F0CDA"/>
    <w:pPr>
      <w:tabs>
        <w:tab w:val="left" w:pos="1021"/>
      </w:tabs>
      <w:spacing w:before="60" w:after="60"/>
      <w:ind w:left="1020" w:hanging="340"/>
    </w:pPr>
  </w:style>
  <w:style w:type="paragraph" w:styleId="List4">
    <w:name w:val="List 4"/>
    <w:basedOn w:val="BodyText"/>
    <w:rsid w:val="008F0CDA"/>
    <w:pPr>
      <w:tabs>
        <w:tab w:val="left" w:pos="1361"/>
      </w:tabs>
      <w:spacing w:before="60" w:after="60"/>
      <w:ind w:left="1361" w:hanging="340"/>
    </w:pPr>
  </w:style>
  <w:style w:type="paragraph" w:styleId="List5">
    <w:name w:val="List 5"/>
    <w:basedOn w:val="BodyText"/>
    <w:rsid w:val="008F0CDA"/>
    <w:pPr>
      <w:tabs>
        <w:tab w:val="left" w:pos="1701"/>
      </w:tabs>
      <w:spacing w:before="60" w:after="60"/>
      <w:ind w:left="1701" w:hanging="340"/>
    </w:pPr>
  </w:style>
  <w:style w:type="paragraph" w:styleId="ListBullet3">
    <w:name w:val="List Bullet 3"/>
    <w:basedOn w:val="List3"/>
    <w:rsid w:val="008F0CDA"/>
    <w:pPr>
      <w:numPr>
        <w:numId w:val="15"/>
      </w:numPr>
      <w:tabs>
        <w:tab w:val="clear" w:pos="1021"/>
      </w:tabs>
      <w:ind w:left="1037" w:hanging="357"/>
    </w:pPr>
  </w:style>
  <w:style w:type="paragraph" w:styleId="ListBullet4">
    <w:name w:val="List Bullet 4"/>
    <w:basedOn w:val="List4"/>
    <w:rsid w:val="008F0CDA"/>
    <w:pPr>
      <w:numPr>
        <w:numId w:val="3"/>
      </w:numPr>
    </w:pPr>
  </w:style>
  <w:style w:type="paragraph" w:styleId="ListBullet5">
    <w:name w:val="List Bullet 5"/>
    <w:basedOn w:val="List5"/>
    <w:rsid w:val="008F0CDA"/>
    <w:pPr>
      <w:numPr>
        <w:numId w:val="4"/>
      </w:numPr>
    </w:pPr>
  </w:style>
  <w:style w:type="paragraph" w:styleId="ListContinue2">
    <w:name w:val="List Continue 2"/>
    <w:basedOn w:val="List2"/>
    <w:rsid w:val="008F0CDA"/>
    <w:pPr>
      <w:ind w:firstLine="0"/>
    </w:pPr>
  </w:style>
  <w:style w:type="paragraph" w:styleId="ListContinue3">
    <w:name w:val="List Continue 3"/>
    <w:basedOn w:val="List3"/>
    <w:rsid w:val="008F0CDA"/>
    <w:pPr>
      <w:ind w:left="1021" w:firstLine="0"/>
    </w:pPr>
  </w:style>
  <w:style w:type="paragraph" w:styleId="ListContinue4">
    <w:name w:val="List Continue 4"/>
    <w:basedOn w:val="List4"/>
    <w:rsid w:val="008F0CDA"/>
    <w:pPr>
      <w:ind w:firstLine="0"/>
    </w:pPr>
  </w:style>
  <w:style w:type="paragraph" w:styleId="ListContinue5">
    <w:name w:val="List Continue 5"/>
    <w:basedOn w:val="List5"/>
    <w:rsid w:val="008F0CDA"/>
    <w:pPr>
      <w:ind w:firstLine="0"/>
    </w:pPr>
  </w:style>
  <w:style w:type="paragraph" w:styleId="ListNumber3">
    <w:name w:val="List Number 3"/>
    <w:basedOn w:val="List3"/>
    <w:rsid w:val="008F0CDA"/>
    <w:pPr>
      <w:numPr>
        <w:numId w:val="5"/>
      </w:numPr>
    </w:pPr>
  </w:style>
  <w:style w:type="paragraph" w:styleId="ListNumber4">
    <w:name w:val="List Number 4"/>
    <w:basedOn w:val="List4"/>
    <w:rsid w:val="008F0CDA"/>
    <w:pPr>
      <w:numPr>
        <w:numId w:val="6"/>
      </w:numPr>
    </w:pPr>
  </w:style>
  <w:style w:type="paragraph" w:styleId="ListNumber5">
    <w:name w:val="List Number 5"/>
    <w:basedOn w:val="List5"/>
    <w:rsid w:val="008F0CDA"/>
    <w:pPr>
      <w:numPr>
        <w:numId w:val="7"/>
      </w:numPr>
    </w:pPr>
  </w:style>
  <w:style w:type="paragraph" w:styleId="BlockText">
    <w:name w:val="Block Text"/>
    <w:basedOn w:val="Normal"/>
    <w:rsid w:val="008F0CDA"/>
    <w:pPr>
      <w:spacing w:after="120"/>
      <w:ind w:left="1440" w:right="1440"/>
    </w:pPr>
  </w:style>
  <w:style w:type="character" w:customStyle="1" w:styleId="Subscript">
    <w:name w:val="Subscript"/>
    <w:rsid w:val="008F0CDA"/>
    <w:rPr>
      <w:sz w:val="16"/>
      <w:vertAlign w:val="subscript"/>
    </w:rPr>
  </w:style>
  <w:style w:type="character" w:customStyle="1" w:styleId="Superscript">
    <w:name w:val="Superscript"/>
    <w:rsid w:val="008F0CDA"/>
    <w:rPr>
      <w:sz w:val="16"/>
      <w:vertAlign w:val="superscript"/>
    </w:rPr>
  </w:style>
  <w:style w:type="character" w:customStyle="1" w:styleId="Symbols">
    <w:name w:val="Symbols"/>
    <w:rsid w:val="008F0CDA"/>
    <w:rPr>
      <w:rFonts w:ascii="Symbol" w:hAnsi="Symbol"/>
    </w:rPr>
  </w:style>
  <w:style w:type="character" w:customStyle="1" w:styleId="MenuOptions">
    <w:name w:val="Menu Options"/>
    <w:rsid w:val="008F0CDA"/>
    <w:rPr>
      <w:rFonts w:ascii="Arial Narrow" w:hAnsi="Arial Narrow"/>
      <w:smallCaps/>
    </w:rPr>
  </w:style>
  <w:style w:type="character" w:customStyle="1" w:styleId="Buttons">
    <w:name w:val="Buttons"/>
    <w:rsid w:val="008F0CDA"/>
    <w:rPr>
      <w:b/>
    </w:rPr>
  </w:style>
  <w:style w:type="character" w:customStyle="1" w:styleId="Underlined">
    <w:name w:val="Underlined"/>
    <w:rsid w:val="008F0CDA"/>
    <w:rPr>
      <w:u w:val="single"/>
    </w:rPr>
  </w:style>
  <w:style w:type="paragraph" w:customStyle="1" w:styleId="TableBodyTextRight">
    <w:name w:val="Table Body Text Right"/>
    <w:basedOn w:val="TableBodyText"/>
    <w:rsid w:val="008F0CDA"/>
    <w:pPr>
      <w:widowControl w:val="0"/>
      <w:autoSpaceDE w:val="0"/>
      <w:autoSpaceDN w:val="0"/>
      <w:adjustRightInd w:val="0"/>
      <w:jc w:val="right"/>
    </w:pPr>
    <w:rPr>
      <w:rFonts w:cs="Arial"/>
      <w:szCs w:val="18"/>
    </w:rPr>
  </w:style>
  <w:style w:type="paragraph" w:customStyle="1" w:styleId="CopyrightText">
    <w:name w:val="Copyright Text"/>
    <w:basedOn w:val="BodyText"/>
    <w:rsid w:val="008F0CDA"/>
    <w:rPr>
      <w:sz w:val="18"/>
    </w:rPr>
  </w:style>
  <w:style w:type="paragraph" w:customStyle="1" w:styleId="BodySmallRight">
    <w:name w:val="Body Small Right"/>
    <w:basedOn w:val="BodyTextRight"/>
    <w:rsid w:val="008F0CDA"/>
    <w:rPr>
      <w:sz w:val="18"/>
      <w:szCs w:val="18"/>
    </w:rPr>
  </w:style>
  <w:style w:type="paragraph" w:customStyle="1" w:styleId="MarginEdition">
    <w:name w:val="Margin Edition"/>
    <w:basedOn w:val="MarginNote"/>
    <w:rsid w:val="008F0CDA"/>
    <w:pPr>
      <w:spacing w:before="0" w:after="0"/>
    </w:pPr>
    <w:rPr>
      <w:rFonts w:ascii="Times New Roman" w:hAnsi="Times New Roman"/>
      <w:color w:val="999999"/>
    </w:rPr>
  </w:style>
  <w:style w:type="paragraph" w:customStyle="1" w:styleId="Spacer">
    <w:name w:val="Spacer"/>
    <w:basedOn w:val="Normal"/>
    <w:rsid w:val="008F0CDA"/>
    <w:rPr>
      <w:sz w:val="2"/>
      <w:szCs w:val="2"/>
    </w:rPr>
  </w:style>
  <w:style w:type="character" w:customStyle="1" w:styleId="Small">
    <w:name w:val="Small"/>
    <w:rsid w:val="008F0CDA"/>
    <w:rPr>
      <w:sz w:val="16"/>
    </w:rPr>
  </w:style>
  <w:style w:type="paragraph" w:customStyle="1" w:styleId="WideTable">
    <w:name w:val="Wide Table"/>
    <w:basedOn w:val="Normal"/>
    <w:rsid w:val="008F0CDA"/>
    <w:pPr>
      <w:ind w:left="-1418"/>
    </w:pPr>
    <w:rPr>
      <w:sz w:val="2"/>
      <w:szCs w:val="2"/>
    </w:rPr>
  </w:style>
  <w:style w:type="character" w:styleId="PageNumber">
    <w:name w:val="page number"/>
    <w:rsid w:val="008F0CDA"/>
  </w:style>
  <w:style w:type="paragraph" w:styleId="Quote">
    <w:name w:val="Quote"/>
    <w:basedOn w:val="Heading1"/>
    <w:link w:val="QuoteChar"/>
    <w:qFormat/>
    <w:rsid w:val="008F0CDA"/>
    <w:rPr>
      <w:b w:val="0"/>
      <w:sz w:val="72"/>
      <w:szCs w:val="72"/>
      <w:lang w:val="en-NZ"/>
    </w:rPr>
  </w:style>
  <w:style w:type="character" w:customStyle="1" w:styleId="QuoteChar">
    <w:name w:val="Quote Char"/>
    <w:link w:val="Quote"/>
    <w:rsid w:val="008F0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CDA"/>
    <w:pPr>
      <w:pageBreakBefore/>
    </w:pPr>
  </w:style>
  <w:style w:type="paragraph" w:customStyle="1" w:styleId="Border">
    <w:name w:val="Border"/>
    <w:basedOn w:val="Normal"/>
    <w:qFormat/>
    <w:rsid w:val="008F0CDA"/>
    <w:pPr>
      <w:pBdr>
        <w:top w:val="single" w:sz="18" w:space="1" w:color="auto"/>
      </w:pBdr>
    </w:pPr>
    <w:rPr>
      <w:rFonts w:ascii="Times New Roman" w:hAnsi="Times New Roman"/>
      <w:color w:val="FFFFFF"/>
      <w:sz w:val="2"/>
    </w:rPr>
  </w:style>
  <w:style w:type="character" w:styleId="IntenseEmphasis">
    <w:name w:val="Intense Emphasis"/>
    <w:uiPriority w:val="21"/>
    <w:qFormat/>
    <w:rsid w:val="008F0CDA"/>
    <w:rPr>
      <w:b/>
      <w:bCs/>
      <w:i/>
      <w:iCs/>
      <w:color w:val="auto"/>
    </w:rPr>
  </w:style>
  <w:style w:type="paragraph" w:styleId="IntenseQuote">
    <w:name w:val="Intense Quote"/>
    <w:basedOn w:val="Normal"/>
    <w:next w:val="Normal"/>
    <w:link w:val="IntenseQuoteChar"/>
    <w:uiPriority w:val="30"/>
    <w:qFormat/>
    <w:rsid w:val="008F0CD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F0CDA"/>
    <w:rPr>
      <w:rFonts w:ascii="Courier New" w:eastAsia="Times New Roman" w:hAnsi="Courier New" w:cs="Times New Roman"/>
      <w:b/>
      <w:bCs/>
      <w:i/>
      <w:iCs/>
      <w:szCs w:val="20"/>
      <w:lang w:val="en-US" w:eastAsia="en-US"/>
    </w:rPr>
  </w:style>
  <w:style w:type="character" w:styleId="SubtleReference">
    <w:name w:val="Subtle Reference"/>
    <w:uiPriority w:val="31"/>
    <w:qFormat/>
    <w:rsid w:val="008F0CDA"/>
    <w:rPr>
      <w:smallCaps/>
      <w:color w:val="auto"/>
      <w:u w:val="single"/>
    </w:rPr>
  </w:style>
  <w:style w:type="character" w:styleId="IntenseReference">
    <w:name w:val="Intense Reference"/>
    <w:uiPriority w:val="32"/>
    <w:qFormat/>
    <w:rsid w:val="008F0CDA"/>
    <w:rPr>
      <w:b/>
      <w:bCs/>
      <w:smallCaps/>
      <w:color w:val="auto"/>
      <w:spacing w:val="5"/>
      <w:u w:val="single"/>
    </w:rPr>
  </w:style>
  <w:style w:type="paragraph" w:customStyle="1" w:styleId="2ColumnHeading">
    <w:name w:val="2Column Heading"/>
    <w:basedOn w:val="BodyText"/>
    <w:qFormat/>
    <w:rsid w:val="008F0CDA"/>
    <w:pPr>
      <w:spacing w:after="60"/>
      <w:ind w:left="-2268"/>
    </w:pPr>
    <w:rPr>
      <w:b/>
    </w:rPr>
  </w:style>
  <w:style w:type="paragraph" w:customStyle="1" w:styleId="Heading1TOC">
    <w:name w:val="Heading1 TOC"/>
    <w:basedOn w:val="Normal"/>
    <w:qFormat/>
    <w:rsid w:val="008F0CDA"/>
    <w:pPr>
      <w:spacing w:before="240" w:after="120"/>
    </w:pPr>
    <w:rPr>
      <w:rFonts w:ascii="Times New Roman" w:hAnsi="Times New Roman"/>
      <w:b/>
      <w:sz w:val="32"/>
    </w:rPr>
  </w:style>
  <w:style w:type="paragraph" w:customStyle="1" w:styleId="Heading2TOC">
    <w:name w:val="Heading2 TOC"/>
    <w:basedOn w:val="Normal"/>
    <w:qFormat/>
    <w:rsid w:val="008F0CDA"/>
    <w:pPr>
      <w:spacing w:before="240" w:after="60"/>
    </w:pPr>
    <w:rPr>
      <w:rFonts w:ascii="Times New Roman" w:hAnsi="Times New Roman"/>
      <w:b/>
      <w:sz w:val="28"/>
    </w:rPr>
  </w:style>
  <w:style w:type="paragraph" w:styleId="BalloonText">
    <w:name w:val="Balloon Text"/>
    <w:basedOn w:val="Normal"/>
    <w:link w:val="BalloonTextChar"/>
    <w:rsid w:val="008F0CDA"/>
    <w:rPr>
      <w:rFonts w:ascii="Tahoma" w:hAnsi="Tahoma" w:cs="Tahoma"/>
      <w:sz w:val="16"/>
      <w:szCs w:val="16"/>
    </w:rPr>
  </w:style>
  <w:style w:type="character" w:customStyle="1" w:styleId="BalloonTextChar">
    <w:name w:val="Balloon Text Char"/>
    <w:link w:val="BalloonText"/>
    <w:rsid w:val="008F0C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0CD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F0CD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1001</Words>
  <Characters>6014</Characters>
  <Application>Microsoft Office Word</Application>
  <DocSecurity>0</DocSecurity>
  <Lines>251</Lines>
  <Paragraphs>126</Paragraphs>
  <ScaleCrop>false</ScaleCrop>
  <Company>Author-it Software Corporation Ltd.</Company>
  <LinksUpToDate>false</LinksUpToDate>
  <CharactersWithSpaces>6954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MTMG300A Overview wild game meat industry</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2012-05-27T06:38:00Z</dcterms:created>
  <dcterms:modified xsi:type="dcterms:W3CDTF">2012-05-27T06:38:00Z</dcterms:modified>
</cp:coreProperties>
</file>