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814" w:rsidP="00894814">
      <w:pPr>
        <w:pStyle w:val="Title"/>
      </w:pPr>
      <w:r>
        <w:fldChar w:fldCharType="begin"/>
      </w:r>
      <w:r>
        <w:instrText xml:space="preserve"> TITLE   \* MERGEFORMAT </w:instrText>
      </w:r>
      <w:r>
        <w:fldChar w:fldCharType="separate"/>
      </w:r>
      <w:r>
        <w:t>MSTTX3010 Monitor textile production processes</w:t>
      </w:r>
      <w:r>
        <w:fldChar w:fldCharType="end"/>
      </w:r>
    </w:p>
    <w:p w:rsidR="00894814" w:rsidP="00894814">
      <w:pPr>
        <w:pStyle w:val="Version"/>
        <w:sectPr w:rsidSect="00A51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30C" w:rsidP="00A5130C">
      <w:pPr>
        <w:pStyle w:val="SuperHeading"/>
      </w:pPr>
      <w:r w:rsidRPr="00A5130C">
        <w:t>MSTTX3010 Monitor textile production processes</w:t>
      </w:r>
    </w:p>
    <w:p w:rsidR="00000000" w:rsidRPr="00A5130C" w:rsidP="00A5130C">
      <w:pPr>
        <w:pStyle w:val="Heading1"/>
      </w:pPr>
      <w:bookmarkStart w:id="1" w:name="O_933111"/>
      <w:bookmarkEnd w:id="1"/>
      <w:r w:rsidRPr="00A5130C">
        <w:t>Modification History</w:t>
      </w:r>
    </w:p>
    <w:p w:rsidR="00000000" w:rsidRPr="00A5130C" w:rsidP="00894814">
      <w:pPr>
        <w:pStyle w:val="BodyText"/>
      </w:pPr>
      <w:r w:rsidRPr="00A5130C">
        <w:t>Release 1. Supersedes and is equivalent to LMTTX3010B Monitor textile production processes</w:t>
      </w:r>
    </w:p>
    <w:p w:rsidR="00000000" w:rsidRPr="00A5130C" w:rsidP="00A5130C">
      <w:pPr>
        <w:pStyle w:val="Heading1"/>
      </w:pPr>
      <w:bookmarkStart w:id="2" w:name="O_933119"/>
      <w:bookmarkEnd w:id="2"/>
      <w:r w:rsidRPr="00A5130C">
        <w:t>Application</w:t>
      </w:r>
    </w:p>
    <w:p w:rsidR="00000000" w:rsidRPr="00A5130C" w:rsidP="00894814">
      <w:pPr>
        <w:pStyle w:val="BodyText"/>
      </w:pPr>
      <w:r w:rsidRPr="00A5130C">
        <w:t xml:space="preserve">This unit of competency covers the skills and knowledge required to monitor textile production processes. </w:t>
      </w:r>
    </w:p>
    <w:p w:rsidR="00000000" w:rsidRPr="00A5130C" w:rsidP="00894814">
      <w:pPr>
        <w:pStyle w:val="BodyText"/>
      </w:pPr>
      <w:r w:rsidRPr="00A5130C">
        <w:t>The unit of competency applies to ensuring that textile production outcomes are consistent with job specifications, identifying performance parameters, solving problems and conducting checks of performance efficiency.</w:t>
      </w:r>
    </w:p>
    <w:p w:rsidR="00000000" w:rsidRPr="00A5130C" w:rsidP="00894814">
      <w:pPr>
        <w:pStyle w:val="BodyText"/>
      </w:pPr>
      <w:r w:rsidRPr="00A5130C">
        <w:t>The unit of competency involves work</w:t>
      </w:r>
      <w:r w:rsidRPr="00A5130C">
        <w:t>ing with discretion, judgement, and initiative on the job either individually or in a team environment, and may include liaison with specialist technicians, including textile mechanics or technicians and production supervisors.</w:t>
      </w:r>
    </w:p>
    <w:p w:rsidR="00000000" w:rsidRPr="00A5130C" w:rsidP="00894814">
      <w:pPr>
        <w:pStyle w:val="BodyText"/>
      </w:pPr>
      <w:r w:rsidRPr="00A5130C">
        <w:t>Enterprises covered by this</w:t>
      </w:r>
      <w:r w:rsidRPr="00A5130C">
        <w:t xml:space="preserve"> unit will process natural or synthetic source fibres, yarns or textile materials. Production processes covered include, but are not limited to, carding, spinning, knitting, tufting, weaving, finishing, dyeing and non-woven production processes.</w:t>
      </w:r>
    </w:p>
    <w:p w:rsidR="00000000" w:rsidRPr="00A5130C" w:rsidP="00894814">
      <w:pPr>
        <w:pStyle w:val="BodyText"/>
      </w:pPr>
      <w:r w:rsidRPr="00A5130C">
        <w:t xml:space="preserve">Work may </w:t>
      </w:r>
      <w:r w:rsidRPr="00A5130C">
        <w:t>be conducted in small to large scale enterprises and may involve individual and team activities.</w:t>
      </w:r>
    </w:p>
    <w:p w:rsidR="00000000" w:rsidRPr="00A5130C" w:rsidP="00894814">
      <w:pPr>
        <w:pStyle w:val="BodyText"/>
      </w:pPr>
      <w:r w:rsidRPr="00A5130C">
        <w:t>No licensing, legislative or certification requirements apply to this unit at the time of publication.</w:t>
      </w:r>
    </w:p>
    <w:p w:rsidR="00000000" w:rsidRPr="00A5130C" w:rsidP="00A5130C">
      <w:pPr>
        <w:pStyle w:val="Heading1"/>
      </w:pPr>
      <w:bookmarkStart w:id="3" w:name="O_933118"/>
      <w:bookmarkEnd w:id="3"/>
      <w:r w:rsidRPr="00A5130C">
        <w:t>Pre-requisite Unit</w:t>
      </w:r>
    </w:p>
    <w:p w:rsidR="00000000" w:rsidRPr="00A5130C" w:rsidP="00894814">
      <w:pPr>
        <w:pStyle w:val="BodyText"/>
      </w:pPr>
      <w:r w:rsidRPr="00A5130C">
        <w:t>Nil</w:t>
      </w:r>
    </w:p>
    <w:p w:rsidR="00000000" w:rsidRPr="00A5130C" w:rsidP="00A5130C">
      <w:pPr>
        <w:pStyle w:val="Heading1"/>
      </w:pPr>
      <w:bookmarkStart w:id="4" w:name="O_933117"/>
      <w:bookmarkEnd w:id="4"/>
      <w:r w:rsidRPr="00A5130C">
        <w:t>Competency Field</w:t>
      </w:r>
    </w:p>
    <w:p w:rsidR="00000000" w:rsidRPr="00A5130C" w:rsidP="00894814">
      <w:pPr>
        <w:pStyle w:val="BodyText"/>
      </w:pPr>
      <w:r w:rsidRPr="00A5130C">
        <w:t>Textile production</w:t>
      </w:r>
    </w:p>
    <w:p w:rsidR="00000000" w:rsidRPr="00A5130C" w:rsidP="00A5130C">
      <w:pPr>
        <w:pStyle w:val="Heading1"/>
      </w:pPr>
      <w:bookmarkStart w:id="5" w:name="O_933116"/>
      <w:bookmarkEnd w:id="5"/>
      <w:r w:rsidRPr="00A5130C">
        <w:t>Unit Sector</w:t>
      </w:r>
    </w:p>
    <w:p w:rsidR="00000000" w:rsidRPr="00A5130C" w:rsidP="00894814">
      <w:pPr>
        <w:pStyle w:val="BodyText"/>
      </w:pPr>
      <w:r w:rsidRPr="00A5130C">
        <w:t>Not applicable</w:t>
      </w:r>
    </w:p>
    <w:p w:rsidR="00000000" w:rsidRPr="00A5130C" w:rsidP="00A5130C">
      <w:pPr>
        <w:pStyle w:val="Heading1"/>
      </w:pPr>
      <w:bookmarkStart w:id="6" w:name="O_933115"/>
      <w:bookmarkEnd w:id="6"/>
      <w:r w:rsidRPr="00A513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13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Performance criteria describe the performance needed to demonstrate achievement of the element.</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t>1</w:t>
            </w:r>
          </w:p>
        </w:tc>
        <w:tc>
          <w:tcPr>
            <w:tcW w:w="1962" w:type="dxa"/>
            <w:vMerge w:val="restart"/>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1.1</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Follow standard operating procedures (SOPs)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1.2</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Comply with work health and safety (WHS) requirements at all times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1.3</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Use appropriate personal protective equipment (PPE) in accordance with SOPs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1.4</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Identify job requirements from specifications, drawings, job sheets or work instructions</w:t>
            </w:r>
          </w:p>
        </w:tc>
      </w:tr>
      <w:tr w:rsidTr="00A513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130C">
            <w:pPr>
              <w:pStyle w:val="BodyText"/>
              <w:rPr>
                <w:lang w:val="en-NZ"/>
              </w:rPr>
            </w:pP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t>2</w:t>
            </w:r>
          </w:p>
        </w:tc>
        <w:tc>
          <w:tcPr>
            <w:tcW w:w="1962" w:type="dxa"/>
            <w:vMerge w:val="restart"/>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Prepare to monitor textile production procedures</w:t>
            </w: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2.1</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Check job specifications for requirements including quantity, quality, colour and pattern</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2.2</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Identify performance parameters to the extent required to be able to report known or suspected problems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2.3</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Monitor production processes to ensure consisten</w:t>
            </w:r>
            <w:r w:rsidRPr="00A5130C">
              <w:t>cy with specified outcomes and comply with workplace procedures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2.4</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Maintain job records and other documentation</w:t>
            </w:r>
          </w:p>
        </w:tc>
      </w:tr>
      <w:tr w:rsidTr="00A513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130C">
            <w:pPr>
              <w:pStyle w:val="BodyText"/>
              <w:rPr>
                <w:lang w:val="en-NZ"/>
              </w:rPr>
            </w:pP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t>3</w:t>
            </w:r>
          </w:p>
        </w:tc>
        <w:tc>
          <w:tcPr>
            <w:tcW w:w="1962" w:type="dxa"/>
            <w:vMerge w:val="restart"/>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Determine problem cause and solution</w:t>
            </w: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3.1</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Identify problems and categorise as either machine or process faults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3.2</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Refer to operating manuals and documentation and determine possible causes of the problems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3.3</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Gather further information to confirm and eliminate possible causes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3.4</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Consult appropriate personnel to confirm causes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3.5</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Determ</w:t>
            </w:r>
            <w:r w:rsidRPr="00A5130C">
              <w:t xml:space="preserve">ine and trial immediate or short-term solution and/or determine permanent solution to eliminate the cause of the problem in consultation with appropriate </w:t>
            </w:r>
            <w:r w:rsidRPr="00A5130C">
              <w:t>personnel</w:t>
            </w:r>
          </w:p>
        </w:tc>
      </w:tr>
      <w:tr w:rsidTr="00A513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5130C">
            <w:pPr>
              <w:pStyle w:val="BodyText"/>
              <w:rPr>
                <w:lang w:val="en-NZ"/>
              </w:rPr>
            </w:pP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t>4</w:t>
            </w:r>
          </w:p>
        </w:tc>
        <w:tc>
          <w:tcPr>
            <w:tcW w:w="1962" w:type="dxa"/>
            <w:vMerge w:val="restart"/>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Conduct regular checks of performance</w:t>
            </w: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4.1</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Make regular checks of process operation a</w:t>
            </w:r>
            <w:r w:rsidRPr="00A5130C">
              <w:t>nd assess results against job specifications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4.2</w:t>
            </w:r>
          </w:p>
        </w:tc>
        <w:tc>
          <w:tcPr>
            <w:tcW w:w="561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Record results of checks and identify opportunities for process improvements</w:t>
            </w:r>
          </w:p>
        </w:tc>
      </w:tr>
      <w:tr w:rsidTr="00A513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4.3</w:t>
            </w:r>
          </w:p>
        </w:tc>
        <w:tc>
          <w:tcPr>
            <w:tcW w:w="5610" w:type="dxa"/>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t>Communicate and document improvements</w:t>
            </w:r>
          </w:p>
        </w:tc>
      </w:tr>
    </w:tbl>
    <w:p w:rsidR="00000000" w:rsidRPr="00A5130C" w:rsidP="00A5130C">
      <w:pPr>
        <w:pStyle w:val="BodyText"/>
      </w:pPr>
    </w:p>
    <w:p w:rsidR="00000000" w:rsidRPr="00A5130C" w:rsidP="00A5130C">
      <w:pPr>
        <w:pStyle w:val="AllowPageBreak"/>
      </w:pPr>
    </w:p>
    <w:p w:rsidR="00000000" w:rsidRPr="00A5130C" w:rsidP="00A5130C">
      <w:pPr>
        <w:pStyle w:val="Heading1"/>
      </w:pPr>
      <w:bookmarkStart w:id="7" w:name="O_933114"/>
      <w:bookmarkEnd w:id="7"/>
      <w:r w:rsidRPr="00A5130C">
        <w:t>Foundation Skills</w:t>
      </w:r>
    </w:p>
    <w:p w:rsidR="00000000" w:rsidRPr="00A5130C" w:rsidP="00894814">
      <w:pPr>
        <w:pStyle w:val="BodyText"/>
      </w:pPr>
      <w:r w:rsidRPr="00A5130C">
        <w:t>This section describes those required skills (language, literacy and numeracy) that are essential to performance.</w:t>
      </w:r>
    </w:p>
    <w:p w:rsidR="00000000" w:rsidRPr="00A5130C" w:rsidP="00894814">
      <w:pPr>
        <w:pStyle w:val="BodyText"/>
      </w:pPr>
      <w:r w:rsidRPr="00A5130C">
        <w:t>Foundation skills essential to performance are explicit in the performance criteria of this unit of competency.</w:t>
      </w:r>
    </w:p>
    <w:p w:rsidR="00000000" w:rsidRPr="00A5130C" w:rsidP="00A5130C">
      <w:pPr>
        <w:pStyle w:val="Heading1"/>
      </w:pPr>
      <w:bookmarkStart w:id="8" w:name="O_933113"/>
      <w:bookmarkEnd w:id="8"/>
      <w:r w:rsidRPr="00A5130C">
        <w:t>Range of Conditions</w:t>
      </w:r>
    </w:p>
    <w:tbl>
      <w:tblPr>
        <w:tblW w:w="0" w:type="auto"/>
        <w:tblCellMar>
          <w:left w:w="62" w:type="dxa"/>
          <w:right w:w="62" w:type="dxa"/>
        </w:tblCellMar>
        <w:tblLook w:val="0000"/>
      </w:tblPr>
      <w:tblGrid>
        <w:gridCol w:w="2163"/>
        <w:gridCol w:w="7033"/>
      </w:tblGrid>
      <w:tr w:rsidTr="008948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t>This field allows for different work environments and conditions that may affect performance. Essential operating conditions that may be present (depending on the work situation, needs of the candidate, accessibility of the item, and lo</w:t>
            </w:r>
            <w:r w:rsidRPr="00A5130C">
              <w:t>cal industry and regional contexts) are included.</w:t>
            </w: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130C" w:rsidP="00A5130C">
            <w:pPr>
              <w:pStyle w:val="BodyText"/>
            </w:pPr>
            <w:r w:rsidRPr="00A5130C">
              <w:rPr>
                <w:rStyle w:val="SpecialBold"/>
              </w:rPr>
              <w:t>Workplace procedures include one or more of the following:</w:t>
            </w:r>
          </w:p>
          <w:p w:rsidR="00000000" w:rsidRPr="00A5130C" w:rsidP="00A5130C">
            <w:pPr>
              <w:pStyle w:val="BodyText"/>
            </w:pPr>
          </w:p>
          <w:p w:rsidR="00000000" w:rsidP="00A5130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requirements prescribed by legislation, awards, agreements and conditions of employment</w:t>
            </w:r>
          </w:p>
          <w:p w:rsidR="00000000" w:rsidRPr="00A5130C" w:rsidP="00A5130C">
            <w:pPr>
              <w:pStyle w:val="ListBullet"/>
            </w:pPr>
            <w:r w:rsidRPr="00A5130C">
              <w:t>SOPs</w:t>
            </w:r>
          </w:p>
          <w:p w:rsidR="00000000" w:rsidRPr="00A5130C" w:rsidP="00A5130C">
            <w:pPr>
              <w:pStyle w:val="ListBullet"/>
            </w:pPr>
            <w:r w:rsidRPr="00A5130C">
              <w:t>work instructions</w:t>
            </w:r>
          </w:p>
          <w:p w:rsidR="00000000" w:rsidRPr="00A5130C" w:rsidP="00A5130C">
            <w:pPr>
              <w:pStyle w:val="ListBullet"/>
            </w:pPr>
            <w:r w:rsidRPr="00A5130C">
              <w:t>PPE</w:t>
            </w:r>
          </w:p>
          <w:p w:rsidR="00000000" w:rsidRPr="00A5130C" w:rsidP="00A5130C">
            <w:pPr>
              <w:pStyle w:val="ListBullet"/>
            </w:pPr>
            <w:r w:rsidRPr="00A5130C">
              <w:t>oral, written and visual co</w:t>
            </w:r>
            <w:r w:rsidRPr="00A5130C">
              <w:t>mmunication</w:t>
            </w:r>
          </w:p>
          <w:p w:rsidR="00000000" w:rsidRPr="00A5130C" w:rsidP="00A5130C">
            <w:pPr>
              <w:pStyle w:val="ListBullet"/>
            </w:pPr>
            <w:r w:rsidRPr="00A5130C">
              <w:t>quality practices, including responsibility for maintenance of own work quality and contribution to quality improvement of team or section output</w:t>
            </w:r>
          </w:p>
          <w:p w:rsidR="00000000" w:rsidRPr="00A5130C" w:rsidP="00A5130C">
            <w:pPr>
              <w:pStyle w:val="ListBullet"/>
            </w:pPr>
            <w:r w:rsidRPr="00A5130C">
              <w:t>housekeeping</w:t>
            </w:r>
          </w:p>
          <w:p w:rsidR="00000000" w:rsidRPr="00A5130C" w:rsidP="00A5130C">
            <w:pPr>
              <w:pStyle w:val="ListBullet"/>
            </w:pPr>
            <w:r w:rsidRPr="00A5130C">
              <w:t>tasks related to environmental protection, waste disposal, pollution control and recycling</w:t>
            </w:r>
          </w:p>
          <w:p w:rsidR="00000000" w:rsidRPr="00A5130C" w:rsidP="00A5130C">
            <w:pPr>
              <w:pStyle w:val="ListBullet"/>
            </w:pPr>
            <w:r w:rsidRPr="00A5130C">
              <w:t>WHS practices</w:t>
            </w:r>
          </w:p>
          <w:p w:rsidR="00000000" w:rsidP="00A5130C">
            <w:pPr>
              <w:pStyle w:val="BodyText"/>
              <w:rPr>
                <w:lang w:val="en-NZ"/>
              </w:rPr>
            </w:pP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the relevant industry or Australian Standards that are current at the time this unit is being undertaken</w:t>
            </w:r>
          </w:p>
          <w:p w:rsidR="00000000" w:rsidP="00A5130C">
            <w:pPr>
              <w:pStyle w:val="BodyText"/>
              <w:rPr>
                <w:lang w:val="en-NZ"/>
              </w:rPr>
            </w:pP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Job specifi</w:t>
            </w:r>
            <w:r w:rsidRPr="00A5130C">
              <w:rPr>
                <w:rStyle w:val="SpecialBold"/>
              </w:rPr>
              <w:t>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customer orders</w:t>
            </w:r>
          </w:p>
          <w:p w:rsidR="00000000" w:rsidRPr="00A5130C" w:rsidP="00A5130C">
            <w:pPr>
              <w:pStyle w:val="ListBullet"/>
            </w:pPr>
            <w:r w:rsidRPr="00A5130C">
              <w:t>pattern diagrams</w:t>
            </w:r>
          </w:p>
          <w:p w:rsidR="00000000" w:rsidRPr="00A5130C" w:rsidP="00A5130C">
            <w:pPr>
              <w:pStyle w:val="ListBullet"/>
            </w:pPr>
            <w:r w:rsidRPr="00A5130C">
              <w:t>colour charts</w:t>
            </w:r>
          </w:p>
          <w:p w:rsidR="00000000" w:rsidRPr="00A5130C" w:rsidP="00A5130C">
            <w:pPr>
              <w:pStyle w:val="ListBullet"/>
            </w:pPr>
            <w:r w:rsidRPr="00A5130C">
              <w:t>simple formulae</w:t>
            </w:r>
          </w:p>
          <w:p w:rsidR="00000000" w:rsidRPr="00A5130C" w:rsidP="00A5130C">
            <w:pPr>
              <w:pStyle w:val="ListBullet"/>
            </w:pPr>
            <w:r w:rsidRPr="00A5130C">
              <w:t>written and verbal instructions</w:t>
            </w:r>
          </w:p>
          <w:p w:rsidR="00000000" w:rsidRPr="00A5130C" w:rsidP="00A5130C">
            <w:pPr>
              <w:pStyle w:val="ListBullet"/>
            </w:pPr>
            <w:r w:rsidRPr="00A5130C">
              <w:t>drawings</w:t>
            </w:r>
          </w:p>
          <w:p w:rsidR="00000000" w:rsidP="00A5130C">
            <w:pPr>
              <w:pStyle w:val="BodyText"/>
              <w:rPr>
                <w:lang w:val="en-NZ"/>
              </w:rPr>
            </w:pP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Performance parameters include the following:</w:t>
            </w: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processing time</w:t>
            </w:r>
          </w:p>
          <w:p w:rsidR="00000000" w:rsidRPr="00A5130C" w:rsidP="00A5130C">
            <w:pPr>
              <w:pStyle w:val="ListBullet"/>
            </w:pPr>
            <w:r w:rsidRPr="00A5130C">
              <w:t>acceptable error rate</w:t>
            </w:r>
          </w:p>
          <w:p w:rsidR="00000000" w:rsidRPr="00A5130C" w:rsidP="00A5130C">
            <w:pPr>
              <w:pStyle w:val="ListBullet"/>
            </w:pPr>
            <w:r w:rsidRPr="00A5130C">
              <w:t>wastage</w:t>
            </w:r>
          </w:p>
          <w:p w:rsidR="00000000" w:rsidRPr="00A5130C" w:rsidP="00A5130C">
            <w:pPr>
              <w:pStyle w:val="ListBullet"/>
            </w:pPr>
            <w:r w:rsidRPr="00A5130C">
              <w:t>noise</w:t>
            </w:r>
          </w:p>
          <w:p w:rsidR="00000000" w:rsidRPr="00A5130C" w:rsidP="00A5130C">
            <w:pPr>
              <w:pStyle w:val="ListBullet"/>
            </w:pPr>
            <w:r w:rsidRPr="00A5130C">
              <w:t>vibration</w:t>
            </w:r>
          </w:p>
          <w:p w:rsidR="00000000" w:rsidP="00A5130C">
            <w:pPr>
              <w:pStyle w:val="BodyText"/>
              <w:rPr>
                <w:lang w:val="en-NZ"/>
              </w:rPr>
            </w:pP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carding</w:t>
            </w:r>
          </w:p>
          <w:p w:rsidR="00000000" w:rsidRPr="00A5130C" w:rsidP="00A5130C">
            <w:pPr>
              <w:pStyle w:val="ListBullet"/>
            </w:pPr>
            <w:r w:rsidRPr="00A5130C">
              <w:t>spinning</w:t>
            </w:r>
          </w:p>
          <w:p w:rsidR="00000000" w:rsidRPr="00A5130C" w:rsidP="00A5130C">
            <w:pPr>
              <w:pStyle w:val="ListBullet"/>
            </w:pPr>
            <w:r w:rsidRPr="00A5130C">
              <w:t>sizing</w:t>
            </w:r>
          </w:p>
          <w:p w:rsidR="00000000" w:rsidRPr="00A5130C" w:rsidP="00A5130C">
            <w:pPr>
              <w:pStyle w:val="ListBullet"/>
            </w:pPr>
            <w:r w:rsidRPr="00A5130C">
              <w:t>winding</w:t>
            </w:r>
          </w:p>
          <w:p w:rsidR="00000000" w:rsidRPr="00A5130C" w:rsidP="00A5130C">
            <w:pPr>
              <w:pStyle w:val="ListBullet"/>
            </w:pPr>
            <w:r w:rsidRPr="00A5130C">
              <w:t>weaving</w:t>
            </w:r>
          </w:p>
          <w:p w:rsidR="00000000" w:rsidRPr="00A5130C" w:rsidP="00A5130C">
            <w:pPr>
              <w:pStyle w:val="ListBullet"/>
            </w:pPr>
            <w:r w:rsidRPr="00A5130C">
              <w:t>tufting</w:t>
            </w:r>
          </w:p>
          <w:p w:rsidR="00000000" w:rsidRPr="00A5130C" w:rsidP="00A5130C">
            <w:pPr>
              <w:pStyle w:val="ListBullet"/>
            </w:pPr>
            <w:r w:rsidRPr="00A5130C">
              <w:t>knitting</w:t>
            </w:r>
          </w:p>
          <w:p w:rsidR="00000000" w:rsidRPr="00A5130C" w:rsidP="00A5130C">
            <w:pPr>
              <w:pStyle w:val="ListBullet"/>
            </w:pPr>
            <w:r w:rsidRPr="00A5130C">
              <w:t>dyeing</w:t>
            </w:r>
          </w:p>
          <w:p w:rsidR="00000000" w:rsidRPr="00A5130C" w:rsidP="00A5130C">
            <w:pPr>
              <w:pStyle w:val="ListBullet"/>
            </w:pPr>
            <w:r w:rsidRPr="00A5130C">
              <w:t>finishing</w:t>
            </w:r>
          </w:p>
          <w:p w:rsidR="00000000" w:rsidRPr="00A5130C" w:rsidP="00A5130C">
            <w:pPr>
              <w:pStyle w:val="ListBullet"/>
            </w:pPr>
            <w:r w:rsidRPr="00A5130C">
              <w:t>non-woven textile production process</w:t>
            </w:r>
          </w:p>
          <w:p w:rsidR="00000000" w:rsidRPr="00A5130C" w:rsidP="00A5130C">
            <w:pPr>
              <w:pStyle w:val="ListBullet"/>
            </w:pPr>
            <w:r w:rsidRPr="00A5130C">
              <w:t>any special production systems of manufacturing practice, including:</w:t>
            </w:r>
          </w:p>
          <w:p w:rsidR="00000000" w:rsidRPr="00A5130C" w:rsidP="00A5130C">
            <w:pPr>
              <w:pStyle w:val="ListBullet2"/>
            </w:pPr>
            <w:r w:rsidRPr="00A5130C">
              <w:t>just in time (JIT) movement between departments and suppliers or customers</w:t>
            </w:r>
          </w:p>
          <w:p w:rsidR="00000000" w:rsidRPr="00A5130C" w:rsidP="00A5130C">
            <w:pPr>
              <w:pStyle w:val="ListBullet2"/>
            </w:pPr>
            <w:r w:rsidRPr="00A5130C">
              <w:t>special housekeeping practices, including 5S</w:t>
            </w:r>
          </w:p>
          <w:p w:rsidR="00000000" w:rsidP="00A5130C">
            <w:pPr>
              <w:pStyle w:val="BodyText"/>
              <w:rPr>
                <w:lang w:val="en-NZ"/>
              </w:rPr>
            </w:pPr>
          </w:p>
        </w:tc>
      </w:tr>
      <w:tr w:rsidTr="00894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30C">
            <w:pPr>
              <w:pStyle w:val="BodyText"/>
              <w:rPr>
                <w:lang w:val="en-NZ"/>
              </w:rPr>
            </w:pPr>
            <w:r w:rsidRPr="00A5130C">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5130C" w:rsidP="00A5130C">
            <w:pPr>
              <w:pStyle w:val="ListBullet"/>
            </w:pPr>
            <w:r w:rsidRPr="00A5130C">
              <w:t>internal technical specialists</w:t>
            </w:r>
          </w:p>
          <w:p w:rsidR="00000000" w:rsidRPr="00A5130C" w:rsidP="00A5130C">
            <w:pPr>
              <w:pStyle w:val="ListBullet"/>
            </w:pPr>
            <w:r w:rsidRPr="00A5130C">
              <w:t>supervisors</w:t>
            </w:r>
          </w:p>
          <w:p w:rsidR="00000000" w:rsidRPr="00A5130C" w:rsidP="00A5130C">
            <w:pPr>
              <w:pStyle w:val="ListBullet"/>
            </w:pPr>
            <w:r w:rsidRPr="00A5130C">
              <w:t>equipment manufacturer service personnel</w:t>
            </w:r>
          </w:p>
        </w:tc>
      </w:tr>
    </w:tbl>
    <w:p w:rsidR="00000000" w:rsidRPr="00A5130C" w:rsidP="00A5130C">
      <w:pPr>
        <w:pStyle w:val="BodyText"/>
      </w:pPr>
    </w:p>
    <w:p w:rsidR="00000000" w:rsidRPr="00A5130C" w:rsidP="00A5130C">
      <w:pPr>
        <w:pStyle w:val="AllowPageBreak"/>
      </w:pPr>
    </w:p>
    <w:p w:rsidR="00000000" w:rsidRPr="00A5130C" w:rsidP="00A5130C">
      <w:pPr>
        <w:pStyle w:val="Heading1"/>
      </w:pPr>
      <w:bookmarkStart w:id="9" w:name="O_933112"/>
      <w:bookmarkEnd w:id="9"/>
      <w:r w:rsidRPr="00A5130C">
        <w:t>Unit Mapping Information</w:t>
      </w:r>
    </w:p>
    <w:p w:rsidR="00000000" w:rsidRPr="00A5130C" w:rsidP="00894814">
      <w:pPr>
        <w:pStyle w:val="BodyText"/>
      </w:pPr>
      <w:r w:rsidRPr="00A5130C">
        <w:t>Release 1. Supersedes and is equivalent to LMTTX3010B Monitor textile production processes</w:t>
      </w:r>
    </w:p>
    <w:p w:rsidR="00000000" w:rsidRPr="00A5130C" w:rsidP="00A5130C">
      <w:pPr>
        <w:pStyle w:val="Heading1"/>
      </w:pPr>
      <w:bookmarkStart w:id="10" w:name="O_933105"/>
      <w:bookmarkEnd w:id="10"/>
      <w:r w:rsidRPr="00A5130C">
        <w:t>Links</w:t>
      </w:r>
    </w:p>
    <w:p w:rsidR="00000000" w:rsidRPr="00A5130C" w:rsidP="00894814">
      <w:pPr>
        <w:pStyle w:val="BodyText"/>
      </w:pPr>
      <w:r w:rsidRPr="00A5130C">
        <w:t>Companion Volume implementation guides are found in VETNe</w:t>
      </w:r>
      <w:r w:rsidRPr="00A5130C">
        <w:t xml:space="preserve">t - </w:t>
      </w:r>
      <w:r>
        <w:fldChar w:fldCharType="begin"/>
      </w:r>
      <w:r>
        <w:instrText xml:space="preserve"> HYPERLINK "https://vetnet.gov.au/Pages/TrainingDocs.aspx?q=a203ec5c-de7d-406b-b3e1-8f1a9b76e92e" </w:instrText>
      </w:r>
      <w:r>
        <w:fldChar w:fldCharType="separate"/>
      </w:r>
      <w:r w:rsidRPr="00DF7F0D">
        <w:rPr>
          <w:rStyle w:val="Hyperlink"/>
        </w:rPr>
        <w:t>https://vetnet.gov.au/Pages/TrainingDocs.aspx?q=a203ec5c-de7d-406b-b3e1-8f1a9b76e92e</w:t>
      </w:r>
      <w:r>
        <w:fldChar w:fldCharType="end"/>
      </w:r>
    </w:p>
    <w:p w:rsidR="00000000" w:rsidRPr="00A5130C" w:rsidP="00A5130C"/>
    <w:sectPr w:rsidSect="00A51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0C" w:rsidRPr="00894814" w:rsidP="00894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14" w:rsidP="00A51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814" w:rsidP="00A513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4814" w:rsidP="00A51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30C" w:rsidRPr="00894814" w:rsidP="00894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14" w:rsidRPr="002D2AF8" w:rsidP="00A5130C">
    <w:pPr>
      <w:pStyle w:val="Header"/>
      <w:framePr w:wrap="around"/>
    </w:pPr>
    <w:r>
      <w:fldChar w:fldCharType="begin"/>
    </w:r>
    <w:r>
      <w:instrText xml:space="preserve"> TITLE   \* MERGEFORMAT </w:instrText>
    </w:r>
    <w:r>
      <w:fldChar w:fldCharType="separate"/>
    </w:r>
    <w:r>
      <w:t>MSTTX3010 Monitor textile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94814" w:rsidP="00A51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A8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CD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27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30C"/>
    <w:pPr>
      <w:spacing w:before="360" w:after="60"/>
      <w:outlineLvl w:val="0"/>
    </w:pPr>
    <w:rPr>
      <w:sz w:val="32"/>
    </w:rPr>
  </w:style>
  <w:style w:type="paragraph" w:styleId="Heading2">
    <w:name w:val="heading 2"/>
    <w:basedOn w:val="HeadingBase"/>
    <w:next w:val="BodyText"/>
    <w:link w:val="Heading2Char"/>
    <w:qFormat/>
    <w:rsid w:val="00A5130C"/>
    <w:pPr>
      <w:keepLines/>
      <w:spacing w:before="240" w:after="120"/>
      <w:outlineLvl w:val="1"/>
    </w:pPr>
    <w:rPr>
      <w:sz w:val="28"/>
      <w:szCs w:val="40"/>
    </w:rPr>
  </w:style>
  <w:style w:type="paragraph" w:styleId="Heading3">
    <w:name w:val="heading 3"/>
    <w:basedOn w:val="HeadingBase"/>
    <w:next w:val="BodyText"/>
    <w:link w:val="Heading3Char"/>
    <w:qFormat/>
    <w:rsid w:val="00A5130C"/>
    <w:pPr>
      <w:spacing w:before="180" w:after="120"/>
      <w:outlineLvl w:val="2"/>
    </w:pPr>
    <w:rPr>
      <w:spacing w:val="-10"/>
      <w:kern w:val="32"/>
    </w:rPr>
  </w:style>
  <w:style w:type="paragraph" w:styleId="Heading4">
    <w:name w:val="heading 4"/>
    <w:basedOn w:val="HeadingBase"/>
    <w:next w:val="BodyText"/>
    <w:link w:val="Heading4Char"/>
    <w:qFormat/>
    <w:rsid w:val="00A5130C"/>
    <w:pPr>
      <w:spacing w:before="160" w:after="120"/>
      <w:outlineLvl w:val="3"/>
    </w:pPr>
    <w:rPr>
      <w:sz w:val="22"/>
    </w:rPr>
  </w:style>
  <w:style w:type="paragraph" w:styleId="Heading5">
    <w:name w:val="heading 5"/>
    <w:basedOn w:val="HeadingBase"/>
    <w:next w:val="Normal"/>
    <w:link w:val="Heading5Char"/>
    <w:qFormat/>
    <w:rsid w:val="00A5130C"/>
    <w:pPr>
      <w:spacing w:before="80"/>
      <w:outlineLvl w:val="4"/>
    </w:pPr>
    <w:rPr>
      <w:color w:val="918585"/>
      <w:sz w:val="20"/>
    </w:rPr>
  </w:style>
  <w:style w:type="paragraph" w:styleId="Heading6">
    <w:name w:val="heading 6"/>
    <w:basedOn w:val="HeadingBase"/>
    <w:next w:val="Normal"/>
    <w:link w:val="Heading6Char"/>
    <w:qFormat/>
    <w:rsid w:val="00A5130C"/>
    <w:pPr>
      <w:spacing w:before="60"/>
      <w:outlineLvl w:val="5"/>
    </w:pPr>
    <w:rPr>
      <w:color w:val="918585"/>
      <w:sz w:val="20"/>
    </w:rPr>
  </w:style>
  <w:style w:type="paragraph" w:styleId="Heading7">
    <w:name w:val="heading 7"/>
    <w:basedOn w:val="Normal"/>
    <w:next w:val="Normal"/>
    <w:link w:val="Heading7Char"/>
    <w:qFormat/>
    <w:rsid w:val="00A5130C"/>
    <w:pPr>
      <w:ind w:left="720"/>
      <w:outlineLvl w:val="6"/>
    </w:pPr>
    <w:rPr>
      <w:i/>
    </w:rPr>
  </w:style>
  <w:style w:type="paragraph" w:styleId="Heading8">
    <w:name w:val="heading 8"/>
    <w:basedOn w:val="Normal"/>
    <w:next w:val="Normal"/>
    <w:link w:val="Heading8Char"/>
    <w:qFormat/>
    <w:rsid w:val="00A5130C"/>
    <w:pPr>
      <w:ind w:left="720"/>
      <w:outlineLvl w:val="7"/>
    </w:pPr>
    <w:rPr>
      <w:i/>
    </w:rPr>
  </w:style>
  <w:style w:type="paragraph" w:styleId="Heading9">
    <w:name w:val="heading 9"/>
    <w:basedOn w:val="Normal"/>
    <w:next w:val="Normal"/>
    <w:link w:val="Heading9Char"/>
    <w:qFormat/>
    <w:rsid w:val="00A5130C"/>
    <w:pPr>
      <w:ind w:left="720"/>
      <w:outlineLvl w:val="8"/>
    </w:pPr>
    <w:rPr>
      <w:i/>
    </w:rPr>
  </w:style>
  <w:style w:type="character" w:default="1" w:styleId="DefaultParagraphFont">
    <w:name w:val="Default Paragraph Font"/>
    <w:uiPriority w:val="1"/>
    <w:unhideWhenUsed/>
    <w:rsid w:val="00A51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0C"/>
  </w:style>
  <w:style w:type="character" w:customStyle="1" w:styleId="Heading1Char">
    <w:name w:val="Heading 1 Char"/>
    <w:basedOn w:val="DefaultParagraphFont"/>
    <w:link w:val="Heading1"/>
    <w:rsid w:val="00A5130C"/>
    <w:rPr>
      <w:rFonts w:ascii="Times New Roman" w:eastAsia="Times New Roman" w:hAnsi="Times New Roman" w:cs="Times New Roman"/>
      <w:b/>
      <w:sz w:val="32"/>
      <w:szCs w:val="20"/>
      <w:lang w:eastAsia="en-US"/>
    </w:rPr>
  </w:style>
  <w:style w:type="paragraph" w:styleId="BodyText">
    <w:name w:val="Body Text"/>
    <w:basedOn w:val="Normal"/>
    <w:link w:val="BodyTextChar"/>
    <w:rsid w:val="00A51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30C"/>
    <w:rPr>
      <w:rFonts w:ascii="Times New Roman" w:eastAsia="Times New Roman" w:hAnsi="Times New Roman" w:cs="Times New Roman"/>
      <w:sz w:val="24"/>
      <w:lang w:eastAsia="en-US"/>
    </w:rPr>
  </w:style>
  <w:style w:type="paragraph" w:styleId="ListBullet">
    <w:name w:val="List Bullet"/>
    <w:basedOn w:val="List"/>
    <w:rsid w:val="00A5130C"/>
    <w:pPr>
      <w:numPr>
        <w:numId w:val="12"/>
      </w:numPr>
      <w:tabs>
        <w:tab w:val="clear" w:pos="340"/>
      </w:tabs>
      <w:spacing w:before="40" w:after="40"/>
    </w:pPr>
  </w:style>
  <w:style w:type="character" w:customStyle="1" w:styleId="SpecialBold">
    <w:name w:val="Special Bold"/>
    <w:basedOn w:val="DefaultParagraphFont"/>
    <w:rsid w:val="00A5130C"/>
    <w:rPr>
      <w:b/>
      <w:spacing w:val="0"/>
    </w:rPr>
  </w:style>
  <w:style w:type="paragraph" w:styleId="ListBullet2">
    <w:name w:val="List Bullet 2"/>
    <w:basedOn w:val="List2"/>
    <w:rsid w:val="00A5130C"/>
    <w:pPr>
      <w:numPr>
        <w:numId w:val="13"/>
      </w:numPr>
      <w:tabs>
        <w:tab w:val="clear" w:pos="680"/>
      </w:tabs>
    </w:pPr>
  </w:style>
  <w:style w:type="paragraph" w:customStyle="1" w:styleId="SuperHeading">
    <w:name w:val="SuperHeading"/>
    <w:basedOn w:val="Normal"/>
    <w:rsid w:val="00A5130C"/>
    <w:pPr>
      <w:spacing w:before="240" w:after="120"/>
      <w:outlineLvl w:val="0"/>
    </w:pPr>
    <w:rPr>
      <w:rFonts w:ascii="Times New Roman" w:hAnsi="Times New Roman"/>
      <w:b/>
      <w:sz w:val="32"/>
    </w:rPr>
  </w:style>
  <w:style w:type="paragraph" w:customStyle="1" w:styleId="AllowPageBreak">
    <w:name w:val="AllowPageBreak"/>
    <w:rsid w:val="00A51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30C"/>
    <w:rPr>
      <w:rFonts w:ascii="Courier New" w:eastAsia="Times New Roman" w:hAnsi="Courier New" w:cs="Times New Roman"/>
      <w:i/>
      <w:szCs w:val="20"/>
      <w:lang w:eastAsia="en-US"/>
    </w:rPr>
  </w:style>
  <w:style w:type="paragraph" w:customStyle="1" w:styleId="HeadingBase">
    <w:name w:val="Heading Base"/>
    <w:rsid w:val="00A51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0C"/>
    <w:pPr>
      <w:tabs>
        <w:tab w:val="right" w:leader="dot" w:pos="9072"/>
      </w:tabs>
      <w:ind w:left="567"/>
    </w:pPr>
    <w:rPr>
      <w:szCs w:val="22"/>
    </w:rPr>
  </w:style>
  <w:style w:type="paragraph" w:customStyle="1" w:styleId="TOCBase">
    <w:name w:val="TOC Base"/>
    <w:rsid w:val="00A51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0C"/>
    <w:pPr>
      <w:tabs>
        <w:tab w:val="right" w:leader="dot" w:pos="9072"/>
      </w:tabs>
      <w:spacing w:before="40" w:after="40"/>
      <w:ind w:left="284"/>
    </w:pPr>
    <w:rPr>
      <w:rFonts w:ascii="Times New Roman" w:hAnsi="Times New Roman"/>
    </w:rPr>
  </w:style>
  <w:style w:type="paragraph" w:styleId="TOC1">
    <w:name w:val="toc 1"/>
    <w:basedOn w:val="TOCBase"/>
    <w:next w:val="Normal"/>
    <w:rsid w:val="00A51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0C"/>
    <w:rPr>
      <w:rFonts w:ascii="Times New Roman" w:eastAsia="Times New Roman" w:hAnsi="Times New Roman" w:cs="Times New Roman"/>
      <w:sz w:val="16"/>
      <w:lang w:eastAsia="en-US"/>
    </w:rPr>
  </w:style>
  <w:style w:type="paragraph" w:styleId="Title">
    <w:name w:val="Title"/>
    <w:basedOn w:val="HeadingBase"/>
    <w:link w:val="TitleChar"/>
    <w:qFormat/>
    <w:rsid w:val="00A5130C"/>
    <w:pPr>
      <w:spacing w:before="5040"/>
      <w:jc w:val="center"/>
    </w:pPr>
    <w:rPr>
      <w:sz w:val="48"/>
      <w:szCs w:val="72"/>
      <w:lang w:val="en-US"/>
    </w:rPr>
  </w:style>
  <w:style w:type="character" w:customStyle="1" w:styleId="TitleChar">
    <w:name w:val="Title Char"/>
    <w:basedOn w:val="DefaultParagraphFont"/>
    <w:link w:val="Title"/>
    <w:rsid w:val="00A51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0C"/>
    <w:pPr>
      <w:tabs>
        <w:tab w:val="left" w:pos="3600"/>
        <w:tab w:val="left" w:pos="3958"/>
      </w:tabs>
    </w:pPr>
  </w:style>
  <w:style w:type="paragraph" w:styleId="List">
    <w:name w:val="List"/>
    <w:basedOn w:val="BodyText"/>
    <w:next w:val="BodyText"/>
    <w:rsid w:val="00A5130C"/>
    <w:pPr>
      <w:tabs>
        <w:tab w:val="left" w:pos="340"/>
      </w:tabs>
      <w:spacing w:before="60" w:after="60"/>
      <w:ind w:left="340" w:hanging="340"/>
    </w:pPr>
  </w:style>
  <w:style w:type="paragraph" w:customStyle="1" w:styleId="Note">
    <w:name w:val="Note"/>
    <w:basedOn w:val="BodyText"/>
    <w:rsid w:val="00A51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30C"/>
    <w:pPr>
      <w:framePr w:wrap="auto" w:hAnchor="text" w:y="6049"/>
    </w:pPr>
    <w:rPr>
      <w:color w:val="000000"/>
      <w:sz w:val="40"/>
    </w:rPr>
  </w:style>
  <w:style w:type="paragraph" w:customStyle="1" w:styleId="TOCTitle">
    <w:name w:val="TOCTitle"/>
    <w:basedOn w:val="Heading1"/>
    <w:rsid w:val="00A5130C"/>
    <w:pPr>
      <w:spacing w:after="240"/>
      <w:jc w:val="center"/>
      <w:outlineLvl w:val="9"/>
    </w:pPr>
    <w:rPr>
      <w:caps/>
    </w:rPr>
  </w:style>
  <w:style w:type="paragraph" w:customStyle="1" w:styleId="Version">
    <w:name w:val="Version"/>
    <w:rsid w:val="00A51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30C"/>
    <w:pPr>
      <w:keepNext w:val="0"/>
      <w:tabs>
        <w:tab w:val="right" w:pos="4176"/>
      </w:tabs>
      <w:ind w:left="198" w:hanging="198"/>
    </w:pPr>
    <w:rPr>
      <w:rFonts w:ascii="Garamond" w:hAnsi="Garamond"/>
    </w:rPr>
  </w:style>
  <w:style w:type="paragraph" w:styleId="IndexHeading">
    <w:name w:val="index heading"/>
    <w:basedOn w:val="Normal"/>
    <w:next w:val="Index1"/>
    <w:semiHidden/>
    <w:rsid w:val="00A5130C"/>
    <w:pPr>
      <w:spacing w:before="120" w:after="120"/>
    </w:pPr>
    <w:rPr>
      <w:rFonts w:ascii="Arial" w:hAnsi="Arial"/>
      <w:b/>
      <w:color w:val="918585"/>
      <w:sz w:val="24"/>
    </w:rPr>
  </w:style>
  <w:style w:type="paragraph" w:styleId="Header">
    <w:name w:val="header"/>
    <w:basedOn w:val="Normal"/>
    <w:link w:val="HeaderChar"/>
    <w:rsid w:val="00A51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0C"/>
    <w:rPr>
      <w:rFonts w:ascii="Times New Roman" w:eastAsia="Times New Roman" w:hAnsi="Times New Roman" w:cs="Times New Roman"/>
      <w:sz w:val="16"/>
      <w:szCs w:val="20"/>
      <w:lang w:val="en-GB" w:eastAsia="en-US"/>
    </w:rPr>
  </w:style>
  <w:style w:type="paragraph" w:customStyle="1" w:styleId="Chapter">
    <w:name w:val="Chapter"/>
    <w:basedOn w:val="Normal"/>
    <w:rsid w:val="00A5130C"/>
    <w:pPr>
      <w:spacing w:before="240"/>
    </w:pPr>
    <w:rPr>
      <w:rFonts w:ascii="Times New Roman" w:hAnsi="Times New Roman"/>
      <w:smallCaps/>
      <w:spacing w:val="80"/>
      <w:sz w:val="28"/>
    </w:rPr>
  </w:style>
  <w:style w:type="paragraph" w:customStyle="1" w:styleId="InChapter">
    <w:name w:val="InChapter"/>
    <w:basedOn w:val="Heading3"/>
    <w:rsid w:val="00A5130C"/>
    <w:pPr>
      <w:spacing w:after="240"/>
      <w:outlineLvl w:val="9"/>
    </w:pPr>
    <w:rPr>
      <w:noProof/>
    </w:rPr>
  </w:style>
  <w:style w:type="paragraph" w:styleId="Index2">
    <w:name w:val="index 2"/>
    <w:basedOn w:val="Normal"/>
    <w:next w:val="Normal"/>
    <w:semiHidden/>
    <w:rsid w:val="00A5130C"/>
    <w:pPr>
      <w:tabs>
        <w:tab w:val="right" w:pos="4176"/>
      </w:tabs>
      <w:ind w:left="568" w:hanging="284"/>
    </w:pPr>
    <w:rPr>
      <w:rFonts w:ascii="Garamond" w:hAnsi="Garamond"/>
    </w:rPr>
  </w:style>
  <w:style w:type="paragraph" w:customStyle="1" w:styleId="Byline">
    <w:name w:val="Byline"/>
    <w:rsid w:val="00A51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0C"/>
    <w:pPr>
      <w:tabs>
        <w:tab w:val="clear" w:pos="3600"/>
        <w:tab w:val="clear" w:pos="3958"/>
      </w:tabs>
      <w:jc w:val="right"/>
    </w:pPr>
  </w:style>
  <w:style w:type="character" w:styleId="Emphasis">
    <w:name w:val="Emphasis"/>
    <w:basedOn w:val="DefaultParagraphFont"/>
    <w:qFormat/>
    <w:rsid w:val="00A5130C"/>
    <w:rPr>
      <w:i/>
    </w:rPr>
  </w:style>
  <w:style w:type="paragraph" w:styleId="Caption">
    <w:name w:val="caption"/>
    <w:basedOn w:val="BodyText"/>
    <w:next w:val="Normal"/>
    <w:qFormat/>
    <w:rsid w:val="00A5130C"/>
    <w:pPr>
      <w:framePr w:w="2268" w:hSpace="181" w:vSpace="181" w:wrap="around" w:vAnchor="text" w:hAnchor="page" w:x="1135" w:y="285" w:anchorLock="1"/>
    </w:pPr>
    <w:rPr>
      <w:i/>
    </w:rPr>
  </w:style>
  <w:style w:type="paragraph" w:customStyle="1" w:styleId="MiniTOCTitle">
    <w:name w:val="MiniTOCTitle"/>
    <w:basedOn w:val="Heading4"/>
    <w:rsid w:val="00A5130C"/>
    <w:pPr>
      <w:spacing w:before="240"/>
      <w:outlineLvl w:val="9"/>
    </w:pPr>
    <w:rPr>
      <w:noProof/>
      <w:sz w:val="24"/>
    </w:rPr>
  </w:style>
  <w:style w:type="paragraph" w:customStyle="1" w:styleId="MiniTOCItem">
    <w:name w:val="MiniTOCItem"/>
    <w:basedOn w:val="ListBullet"/>
    <w:rsid w:val="00A5130C"/>
    <w:pPr>
      <w:numPr>
        <w:numId w:val="0"/>
      </w:numPr>
      <w:tabs>
        <w:tab w:val="right" w:leader="dot" w:pos="6521"/>
      </w:tabs>
      <w:spacing w:before="0" w:after="0"/>
    </w:pPr>
  </w:style>
  <w:style w:type="paragraph" w:customStyle="1" w:styleId="TOFTitle">
    <w:name w:val="TOFTitle"/>
    <w:basedOn w:val="TOCTitle"/>
    <w:rsid w:val="00A5130C"/>
  </w:style>
  <w:style w:type="paragraph" w:styleId="TableofFigures">
    <w:name w:val="table of figures"/>
    <w:basedOn w:val="Normal"/>
    <w:next w:val="Normal"/>
    <w:semiHidden/>
    <w:rsid w:val="00A5130C"/>
    <w:pPr>
      <w:tabs>
        <w:tab w:val="right" w:leader="dot" w:pos="9072"/>
      </w:tabs>
      <w:ind w:left="970" w:hanging="403"/>
    </w:pPr>
    <w:rPr>
      <w:rFonts w:ascii="Times New Roman" w:hAnsi="Times New Roman"/>
      <w:b/>
    </w:rPr>
  </w:style>
  <w:style w:type="paragraph" w:styleId="ListNumber">
    <w:name w:val="List Number"/>
    <w:basedOn w:val="List"/>
    <w:rsid w:val="00A5130C"/>
    <w:pPr>
      <w:numPr>
        <w:numId w:val="15"/>
      </w:numPr>
      <w:tabs>
        <w:tab w:val="clear" w:pos="340"/>
      </w:tabs>
    </w:pPr>
  </w:style>
  <w:style w:type="character" w:customStyle="1" w:styleId="WingdingSymbols">
    <w:name w:val="Wingding Symbols"/>
    <w:rsid w:val="00A5130C"/>
    <w:rPr>
      <w:rFonts w:ascii="Wingdings" w:hAnsi="Wingdings"/>
    </w:rPr>
  </w:style>
  <w:style w:type="paragraph" w:customStyle="1" w:styleId="TableHeading">
    <w:name w:val="Table Heading"/>
    <w:basedOn w:val="HeadingBase"/>
    <w:rsid w:val="00A5130C"/>
    <w:pPr>
      <w:keepLines/>
      <w:pBdr>
        <w:bottom w:val="single" w:sz="6" w:space="1" w:color="918585"/>
      </w:pBdr>
      <w:spacing w:before="240"/>
    </w:pPr>
  </w:style>
  <w:style w:type="character" w:customStyle="1" w:styleId="HotSpot">
    <w:name w:val="HotSpot"/>
    <w:rsid w:val="00A5130C"/>
    <w:rPr>
      <w:color w:val="0033CC"/>
      <w:u w:val="none"/>
    </w:rPr>
  </w:style>
  <w:style w:type="paragraph" w:customStyle="1" w:styleId="BodyTextRight">
    <w:name w:val="Body Text Right"/>
    <w:basedOn w:val="BodyText"/>
    <w:rsid w:val="00A5130C"/>
    <w:pPr>
      <w:spacing w:before="0" w:after="0"/>
      <w:jc w:val="right"/>
    </w:pPr>
  </w:style>
  <w:style w:type="paragraph" w:styleId="Index3">
    <w:name w:val="index 3"/>
    <w:basedOn w:val="ListNumber2"/>
    <w:next w:val="Normal"/>
    <w:semiHidden/>
    <w:rsid w:val="00A5130C"/>
    <w:pPr>
      <w:numPr>
        <w:numId w:val="0"/>
      </w:numPr>
      <w:tabs>
        <w:tab w:val="right" w:leader="dot" w:pos="4176"/>
      </w:tabs>
    </w:pPr>
  </w:style>
  <w:style w:type="paragraph" w:styleId="ListNumber2">
    <w:name w:val="List Number 2"/>
    <w:basedOn w:val="List2"/>
    <w:rsid w:val="00A5130C"/>
    <w:pPr>
      <w:numPr>
        <w:numId w:val="10"/>
      </w:numPr>
      <w:tabs>
        <w:tab w:val="clear" w:pos="1060"/>
      </w:tabs>
    </w:pPr>
  </w:style>
  <w:style w:type="paragraph" w:customStyle="1" w:styleId="MarginNote">
    <w:name w:val="Margin Note"/>
    <w:basedOn w:val="BodyText"/>
    <w:rsid w:val="00A51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30C"/>
    <w:rPr>
      <w:sz w:val="32"/>
    </w:rPr>
  </w:style>
  <w:style w:type="paragraph" w:customStyle="1" w:styleId="HeadingProcedure">
    <w:name w:val="Heading Procedure"/>
    <w:basedOn w:val="HeadingBase"/>
    <w:next w:val="Normal"/>
    <w:rsid w:val="00A5130C"/>
    <w:pPr>
      <w:tabs>
        <w:tab w:val="left" w:pos="0"/>
      </w:tabs>
      <w:spacing w:before="120" w:after="60"/>
    </w:pPr>
    <w:rPr>
      <w:i/>
      <w:color w:val="918585"/>
      <w:sz w:val="22"/>
    </w:rPr>
  </w:style>
  <w:style w:type="paragraph" w:customStyle="1" w:styleId="TableBodyText">
    <w:name w:val="Table Body Text"/>
    <w:basedOn w:val="BodyText"/>
    <w:rsid w:val="00A5130C"/>
    <w:pPr>
      <w:spacing w:before="60" w:after="60"/>
    </w:pPr>
  </w:style>
  <w:style w:type="paragraph" w:styleId="ListContinue">
    <w:name w:val="List Continue"/>
    <w:basedOn w:val="List"/>
    <w:rsid w:val="00A5130C"/>
    <w:pPr>
      <w:ind w:firstLine="0"/>
    </w:pPr>
  </w:style>
  <w:style w:type="paragraph" w:customStyle="1" w:styleId="ListNote">
    <w:name w:val="List Note"/>
    <w:basedOn w:val="List"/>
    <w:rsid w:val="00A5130C"/>
    <w:pPr>
      <w:pBdr>
        <w:top w:val="single" w:sz="6" w:space="2" w:color="918585"/>
        <w:bottom w:val="single" w:sz="6" w:space="2" w:color="918585"/>
      </w:pBdr>
      <w:tabs>
        <w:tab w:val="left" w:pos="1021"/>
      </w:tabs>
      <w:ind w:firstLine="0"/>
    </w:pPr>
  </w:style>
  <w:style w:type="paragraph" w:customStyle="1" w:styleId="Warning">
    <w:name w:val="Warning"/>
    <w:basedOn w:val="BodyText"/>
    <w:rsid w:val="00A5130C"/>
    <w:pPr>
      <w:shd w:val="clear" w:color="auto" w:fill="D9D9D9"/>
      <w:tabs>
        <w:tab w:val="left" w:pos="992"/>
      </w:tabs>
      <w:ind w:left="119" w:right="119"/>
    </w:pPr>
    <w:rPr>
      <w:sz w:val="20"/>
    </w:rPr>
  </w:style>
  <w:style w:type="paragraph" w:customStyle="1" w:styleId="MarginIcons">
    <w:name w:val="Margin Icons"/>
    <w:basedOn w:val="BodyText"/>
    <w:rsid w:val="00A51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0C"/>
    <w:rPr>
      <w:rFonts w:ascii="Courier New" w:hAnsi="Courier New"/>
    </w:rPr>
  </w:style>
  <w:style w:type="paragraph" w:customStyle="1" w:styleId="NoteBullet">
    <w:name w:val="Note Bullet"/>
    <w:basedOn w:val="Note"/>
    <w:rsid w:val="00A5130C"/>
    <w:pPr>
      <w:tabs>
        <w:tab w:val="clear" w:pos="680"/>
      </w:tabs>
      <w:spacing w:before="60" w:after="60"/>
    </w:pPr>
  </w:style>
  <w:style w:type="paragraph" w:customStyle="1" w:styleId="SubHeading2">
    <w:name w:val="SubHeading2"/>
    <w:basedOn w:val="HeadingBase"/>
    <w:rsid w:val="00A5130C"/>
    <w:pPr>
      <w:spacing w:before="240" w:after="60"/>
    </w:pPr>
    <w:rPr>
      <w:sz w:val="20"/>
    </w:rPr>
  </w:style>
  <w:style w:type="paragraph" w:customStyle="1" w:styleId="SubHeading1">
    <w:name w:val="SubHeading1"/>
    <w:basedOn w:val="HeadingBase"/>
    <w:rsid w:val="00A5130C"/>
    <w:pPr>
      <w:spacing w:before="240" w:after="60"/>
    </w:pPr>
    <w:rPr>
      <w:color w:val="918585"/>
      <w:sz w:val="22"/>
    </w:rPr>
  </w:style>
  <w:style w:type="paragraph" w:customStyle="1" w:styleId="SideHeading">
    <w:name w:val="Side Heading"/>
    <w:basedOn w:val="HeadingBase"/>
    <w:rsid w:val="00A51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0C"/>
    <w:pPr>
      <w:tabs>
        <w:tab w:val="num" w:pos="360"/>
      </w:tabs>
    </w:pPr>
  </w:style>
  <w:style w:type="paragraph" w:styleId="PlainText">
    <w:name w:val="Plain Text"/>
    <w:basedOn w:val="Normal"/>
    <w:link w:val="PlainTextChar"/>
    <w:rsid w:val="00A5130C"/>
    <w:rPr>
      <w:sz w:val="20"/>
    </w:rPr>
  </w:style>
  <w:style w:type="character" w:customStyle="1" w:styleId="PlainTextChar">
    <w:name w:val="Plain Text Char"/>
    <w:basedOn w:val="DefaultParagraphFont"/>
    <w:link w:val="PlainText"/>
    <w:rsid w:val="00A5130C"/>
    <w:rPr>
      <w:rFonts w:ascii="Courier New" w:eastAsia="Times New Roman" w:hAnsi="Courier New" w:cs="Times New Roman"/>
      <w:sz w:val="20"/>
      <w:szCs w:val="20"/>
      <w:lang w:eastAsia="en-US"/>
    </w:rPr>
  </w:style>
  <w:style w:type="character" w:customStyle="1" w:styleId="MenuOption">
    <w:name w:val="Menu Option"/>
    <w:basedOn w:val="DefaultParagraphFont"/>
    <w:rsid w:val="00A5130C"/>
    <w:rPr>
      <w:b/>
      <w:smallCaps/>
    </w:rPr>
  </w:style>
  <w:style w:type="paragraph" w:customStyle="1" w:styleId="TableListNumber">
    <w:name w:val="Table List Number"/>
    <w:basedOn w:val="ListNumber"/>
    <w:rsid w:val="00A5130C"/>
    <w:pPr>
      <w:numPr>
        <w:numId w:val="0"/>
      </w:numPr>
    </w:pPr>
  </w:style>
  <w:style w:type="paragraph" w:styleId="TOC4">
    <w:name w:val="toc 4"/>
    <w:basedOn w:val="TOCBase"/>
    <w:next w:val="Normal"/>
    <w:semiHidden/>
    <w:rsid w:val="00A5130C"/>
    <w:pPr>
      <w:tabs>
        <w:tab w:val="right" w:leader="dot" w:pos="9071"/>
      </w:tabs>
      <w:ind w:left="1701"/>
    </w:pPr>
  </w:style>
  <w:style w:type="paragraph" w:customStyle="1" w:styleId="ListAlpha">
    <w:name w:val="List Alpha"/>
    <w:basedOn w:val="List"/>
    <w:rsid w:val="00A5130C"/>
    <w:pPr>
      <w:numPr>
        <w:numId w:val="9"/>
      </w:numPr>
    </w:pPr>
  </w:style>
  <w:style w:type="paragraph" w:customStyle="1" w:styleId="ListAlpha2">
    <w:name w:val="List Alpha 2"/>
    <w:basedOn w:val="List2"/>
    <w:rsid w:val="00A5130C"/>
    <w:pPr>
      <w:numPr>
        <w:numId w:val="8"/>
      </w:numPr>
    </w:pPr>
  </w:style>
  <w:style w:type="paragraph" w:styleId="List2">
    <w:name w:val="List 2"/>
    <w:basedOn w:val="BodyText"/>
    <w:rsid w:val="00A5130C"/>
    <w:pPr>
      <w:tabs>
        <w:tab w:val="left" w:pos="680"/>
      </w:tabs>
      <w:spacing w:before="60" w:after="60"/>
      <w:ind w:left="680" w:hanging="340"/>
    </w:pPr>
  </w:style>
  <w:style w:type="paragraph" w:styleId="List3">
    <w:name w:val="List 3"/>
    <w:basedOn w:val="BodyText"/>
    <w:rsid w:val="00A5130C"/>
    <w:pPr>
      <w:tabs>
        <w:tab w:val="left" w:pos="1021"/>
      </w:tabs>
      <w:spacing w:before="60" w:after="60"/>
      <w:ind w:left="1020" w:hanging="340"/>
    </w:pPr>
  </w:style>
  <w:style w:type="paragraph" w:styleId="List4">
    <w:name w:val="List 4"/>
    <w:basedOn w:val="BodyText"/>
    <w:rsid w:val="00A5130C"/>
    <w:pPr>
      <w:tabs>
        <w:tab w:val="left" w:pos="1361"/>
      </w:tabs>
      <w:spacing w:before="60" w:after="60"/>
      <w:ind w:left="1361" w:hanging="340"/>
    </w:pPr>
  </w:style>
  <w:style w:type="paragraph" w:styleId="List5">
    <w:name w:val="List 5"/>
    <w:basedOn w:val="BodyText"/>
    <w:rsid w:val="00A5130C"/>
    <w:pPr>
      <w:tabs>
        <w:tab w:val="left" w:pos="1701"/>
      </w:tabs>
      <w:spacing w:before="60" w:after="60"/>
      <w:ind w:left="1701" w:hanging="340"/>
    </w:pPr>
  </w:style>
  <w:style w:type="paragraph" w:styleId="ListBullet3">
    <w:name w:val="List Bullet 3"/>
    <w:basedOn w:val="List3"/>
    <w:rsid w:val="00A5130C"/>
    <w:pPr>
      <w:numPr>
        <w:numId w:val="14"/>
      </w:numPr>
      <w:tabs>
        <w:tab w:val="clear" w:pos="1021"/>
      </w:tabs>
      <w:ind w:left="1037" w:hanging="357"/>
    </w:pPr>
  </w:style>
  <w:style w:type="paragraph" w:styleId="ListBullet4">
    <w:name w:val="List Bullet 4"/>
    <w:basedOn w:val="List4"/>
    <w:rsid w:val="00A5130C"/>
    <w:pPr>
      <w:numPr>
        <w:numId w:val="3"/>
      </w:numPr>
      <w:tabs>
        <w:tab w:val="clear" w:pos="1361"/>
      </w:tabs>
    </w:pPr>
  </w:style>
  <w:style w:type="paragraph" w:styleId="ListBullet5">
    <w:name w:val="List Bullet 5"/>
    <w:basedOn w:val="List5"/>
    <w:rsid w:val="00A5130C"/>
    <w:pPr>
      <w:numPr>
        <w:numId w:val="4"/>
      </w:numPr>
    </w:pPr>
  </w:style>
  <w:style w:type="paragraph" w:styleId="ListContinue2">
    <w:name w:val="List Continue 2"/>
    <w:basedOn w:val="List2"/>
    <w:rsid w:val="00A5130C"/>
    <w:pPr>
      <w:ind w:firstLine="0"/>
    </w:pPr>
  </w:style>
  <w:style w:type="paragraph" w:styleId="ListContinue3">
    <w:name w:val="List Continue 3"/>
    <w:basedOn w:val="List3"/>
    <w:rsid w:val="00A5130C"/>
    <w:pPr>
      <w:ind w:left="1021" w:firstLine="0"/>
    </w:pPr>
  </w:style>
  <w:style w:type="paragraph" w:styleId="ListContinue4">
    <w:name w:val="List Continue 4"/>
    <w:basedOn w:val="List4"/>
    <w:rsid w:val="00A5130C"/>
    <w:pPr>
      <w:ind w:firstLine="0"/>
    </w:pPr>
  </w:style>
  <w:style w:type="paragraph" w:styleId="ListContinue5">
    <w:name w:val="List Continue 5"/>
    <w:basedOn w:val="List5"/>
    <w:rsid w:val="00A5130C"/>
    <w:pPr>
      <w:ind w:firstLine="0"/>
    </w:pPr>
  </w:style>
  <w:style w:type="paragraph" w:styleId="ListNumber3">
    <w:name w:val="List Number 3"/>
    <w:basedOn w:val="List3"/>
    <w:rsid w:val="00A5130C"/>
    <w:pPr>
      <w:numPr>
        <w:numId w:val="5"/>
      </w:numPr>
    </w:pPr>
  </w:style>
  <w:style w:type="paragraph" w:styleId="ListNumber4">
    <w:name w:val="List Number 4"/>
    <w:basedOn w:val="List4"/>
    <w:rsid w:val="00A5130C"/>
    <w:pPr>
      <w:numPr>
        <w:numId w:val="6"/>
      </w:numPr>
    </w:pPr>
  </w:style>
  <w:style w:type="paragraph" w:styleId="ListNumber5">
    <w:name w:val="List Number 5"/>
    <w:basedOn w:val="List5"/>
    <w:rsid w:val="00A5130C"/>
    <w:pPr>
      <w:numPr>
        <w:numId w:val="7"/>
      </w:numPr>
    </w:pPr>
  </w:style>
  <w:style w:type="paragraph" w:styleId="BlockText">
    <w:name w:val="Block Text"/>
    <w:basedOn w:val="Normal"/>
    <w:rsid w:val="00A5130C"/>
    <w:pPr>
      <w:spacing w:after="120"/>
      <w:ind w:left="1440" w:right="1440"/>
    </w:pPr>
  </w:style>
  <w:style w:type="character" w:customStyle="1" w:styleId="Subscript">
    <w:name w:val="Subscript"/>
    <w:basedOn w:val="DefaultParagraphFont"/>
    <w:rsid w:val="00A5130C"/>
    <w:rPr>
      <w:sz w:val="16"/>
      <w:vertAlign w:val="subscript"/>
    </w:rPr>
  </w:style>
  <w:style w:type="character" w:customStyle="1" w:styleId="Superscript">
    <w:name w:val="Superscript"/>
    <w:basedOn w:val="DefaultParagraphFont"/>
    <w:rsid w:val="00A5130C"/>
    <w:rPr>
      <w:sz w:val="16"/>
      <w:vertAlign w:val="superscript"/>
    </w:rPr>
  </w:style>
  <w:style w:type="character" w:customStyle="1" w:styleId="Symbols">
    <w:name w:val="Symbols"/>
    <w:basedOn w:val="DefaultParagraphFont"/>
    <w:rsid w:val="00A5130C"/>
    <w:rPr>
      <w:rFonts w:ascii="Symbol" w:hAnsi="Symbol"/>
    </w:rPr>
  </w:style>
  <w:style w:type="character" w:customStyle="1" w:styleId="MenuOptions">
    <w:name w:val="Menu Options"/>
    <w:basedOn w:val="DefaultParagraphFont"/>
    <w:rsid w:val="00A5130C"/>
    <w:rPr>
      <w:rFonts w:ascii="Arial Narrow" w:hAnsi="Arial Narrow"/>
      <w:smallCaps/>
    </w:rPr>
  </w:style>
  <w:style w:type="character" w:customStyle="1" w:styleId="Buttons">
    <w:name w:val="Buttons"/>
    <w:basedOn w:val="DefaultParagraphFont"/>
    <w:rsid w:val="00A5130C"/>
    <w:rPr>
      <w:b/>
    </w:rPr>
  </w:style>
  <w:style w:type="character" w:customStyle="1" w:styleId="Underlined">
    <w:name w:val="Underlined"/>
    <w:basedOn w:val="DefaultParagraphFont"/>
    <w:rsid w:val="00A5130C"/>
    <w:rPr>
      <w:u w:val="single"/>
    </w:rPr>
  </w:style>
  <w:style w:type="paragraph" w:customStyle="1" w:styleId="TableBodyTextRight">
    <w:name w:val="Table Body Text Right"/>
    <w:basedOn w:val="TableBodyText"/>
    <w:rsid w:val="00A5130C"/>
    <w:pPr>
      <w:widowControl w:val="0"/>
      <w:autoSpaceDE w:val="0"/>
      <w:autoSpaceDN w:val="0"/>
      <w:adjustRightInd w:val="0"/>
      <w:jc w:val="right"/>
    </w:pPr>
    <w:rPr>
      <w:rFonts w:cs="Arial"/>
      <w:szCs w:val="18"/>
    </w:rPr>
  </w:style>
  <w:style w:type="paragraph" w:customStyle="1" w:styleId="CopyrightText">
    <w:name w:val="Copyright Text"/>
    <w:basedOn w:val="BodyText"/>
    <w:rsid w:val="00A5130C"/>
    <w:rPr>
      <w:sz w:val="18"/>
    </w:rPr>
  </w:style>
  <w:style w:type="paragraph" w:customStyle="1" w:styleId="BodySmallRight">
    <w:name w:val="Body Small Right"/>
    <w:basedOn w:val="BodyTextRight"/>
    <w:rsid w:val="00A5130C"/>
    <w:rPr>
      <w:sz w:val="18"/>
      <w:szCs w:val="18"/>
    </w:rPr>
  </w:style>
  <w:style w:type="paragraph" w:customStyle="1" w:styleId="MarginEdition">
    <w:name w:val="Margin Edition"/>
    <w:basedOn w:val="MarginNote"/>
    <w:rsid w:val="00A5130C"/>
    <w:pPr>
      <w:spacing w:before="0" w:after="0"/>
    </w:pPr>
    <w:rPr>
      <w:rFonts w:ascii="Times New Roman" w:hAnsi="Times New Roman"/>
      <w:color w:val="999999"/>
    </w:rPr>
  </w:style>
  <w:style w:type="paragraph" w:customStyle="1" w:styleId="Spacer">
    <w:name w:val="Spacer"/>
    <w:basedOn w:val="Normal"/>
    <w:rsid w:val="00A5130C"/>
    <w:rPr>
      <w:sz w:val="2"/>
      <w:szCs w:val="2"/>
    </w:rPr>
  </w:style>
  <w:style w:type="character" w:customStyle="1" w:styleId="Small">
    <w:name w:val="Small"/>
    <w:basedOn w:val="DefaultParagraphFont"/>
    <w:rsid w:val="00A5130C"/>
    <w:rPr>
      <w:sz w:val="16"/>
    </w:rPr>
  </w:style>
  <w:style w:type="paragraph" w:customStyle="1" w:styleId="WideTable">
    <w:name w:val="Wide Table"/>
    <w:basedOn w:val="Normal"/>
    <w:rsid w:val="00A5130C"/>
    <w:pPr>
      <w:ind w:left="-1418"/>
    </w:pPr>
    <w:rPr>
      <w:sz w:val="2"/>
      <w:szCs w:val="2"/>
    </w:rPr>
  </w:style>
  <w:style w:type="character" w:styleId="PageNumber">
    <w:name w:val="page number"/>
    <w:basedOn w:val="DefaultParagraphFont"/>
    <w:rsid w:val="00A5130C"/>
  </w:style>
  <w:style w:type="paragraph" w:styleId="Quote">
    <w:name w:val="Quote"/>
    <w:basedOn w:val="Heading1"/>
    <w:link w:val="QuoteChar"/>
    <w:qFormat/>
    <w:rsid w:val="00A5130C"/>
    <w:rPr>
      <w:b w:val="0"/>
      <w:sz w:val="72"/>
      <w:szCs w:val="72"/>
      <w:lang w:val="en-NZ"/>
    </w:rPr>
  </w:style>
  <w:style w:type="character" w:customStyle="1" w:styleId="QuoteChar">
    <w:name w:val="Quote Char"/>
    <w:basedOn w:val="DefaultParagraphFont"/>
    <w:link w:val="Quote"/>
    <w:rsid w:val="00A51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0C"/>
    <w:pPr>
      <w:pageBreakBefore/>
    </w:pPr>
  </w:style>
  <w:style w:type="paragraph" w:customStyle="1" w:styleId="Border">
    <w:name w:val="Border"/>
    <w:basedOn w:val="Normal"/>
    <w:qFormat/>
    <w:rsid w:val="00A51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0C"/>
    <w:rPr>
      <w:b/>
      <w:bCs/>
      <w:i/>
      <w:iCs/>
      <w:color w:val="auto"/>
    </w:rPr>
  </w:style>
  <w:style w:type="paragraph" w:styleId="IntenseQuote">
    <w:name w:val="Intense Quote"/>
    <w:basedOn w:val="Normal"/>
    <w:next w:val="Normal"/>
    <w:link w:val="IntenseQuoteChar"/>
    <w:uiPriority w:val="30"/>
    <w:qFormat/>
    <w:rsid w:val="00A51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30C"/>
    <w:rPr>
      <w:smallCaps/>
      <w:color w:val="auto"/>
      <w:u w:val="single"/>
    </w:rPr>
  </w:style>
  <w:style w:type="character" w:styleId="IntenseReference">
    <w:name w:val="Intense Reference"/>
    <w:basedOn w:val="DefaultParagraphFont"/>
    <w:uiPriority w:val="32"/>
    <w:qFormat/>
    <w:rsid w:val="00A5130C"/>
    <w:rPr>
      <w:b/>
      <w:bCs/>
      <w:smallCaps/>
      <w:color w:val="auto"/>
      <w:spacing w:val="5"/>
      <w:u w:val="single"/>
    </w:rPr>
  </w:style>
  <w:style w:type="paragraph" w:customStyle="1" w:styleId="2ColumnHeading">
    <w:name w:val="2Column Heading"/>
    <w:basedOn w:val="BodyText"/>
    <w:qFormat/>
    <w:rsid w:val="00A5130C"/>
    <w:pPr>
      <w:spacing w:after="60"/>
      <w:ind w:left="-2268"/>
    </w:pPr>
    <w:rPr>
      <w:b/>
    </w:rPr>
  </w:style>
  <w:style w:type="paragraph" w:customStyle="1" w:styleId="Heading1TOC">
    <w:name w:val="Heading1 TOC"/>
    <w:basedOn w:val="Normal"/>
    <w:qFormat/>
    <w:rsid w:val="00A5130C"/>
    <w:pPr>
      <w:spacing w:before="240" w:after="120"/>
    </w:pPr>
    <w:rPr>
      <w:rFonts w:ascii="Times New Roman" w:hAnsi="Times New Roman"/>
      <w:b/>
      <w:sz w:val="32"/>
    </w:rPr>
  </w:style>
  <w:style w:type="paragraph" w:customStyle="1" w:styleId="Heading2TOC">
    <w:name w:val="Heading2 TOC"/>
    <w:basedOn w:val="Normal"/>
    <w:qFormat/>
    <w:rsid w:val="00A5130C"/>
    <w:pPr>
      <w:spacing w:before="240" w:after="60"/>
    </w:pPr>
    <w:rPr>
      <w:rFonts w:ascii="Times New Roman" w:hAnsi="Times New Roman"/>
      <w:b/>
      <w:sz w:val="28"/>
    </w:rPr>
  </w:style>
  <w:style w:type="character" w:customStyle="1" w:styleId="Underline">
    <w:name w:val="Underline"/>
    <w:basedOn w:val="DefaultParagraphFont"/>
    <w:qFormat/>
    <w:rsid w:val="00A5130C"/>
    <w:rPr>
      <w:u w:val="single"/>
    </w:rPr>
  </w:style>
  <w:style w:type="character" w:customStyle="1" w:styleId="BoldandItalics">
    <w:name w:val="Bold and Italics"/>
    <w:qFormat/>
    <w:rsid w:val="00A5130C"/>
    <w:rPr>
      <w:b/>
      <w:i/>
      <w:u w:val="none"/>
    </w:rPr>
  </w:style>
  <w:style w:type="paragraph" w:styleId="BalloonText">
    <w:name w:val="Balloon Text"/>
    <w:basedOn w:val="Normal"/>
    <w:link w:val="BalloonTextChar"/>
    <w:rsid w:val="00A5130C"/>
    <w:rPr>
      <w:rFonts w:ascii="Tahoma" w:hAnsi="Tahoma" w:cs="Tahoma"/>
      <w:sz w:val="16"/>
      <w:szCs w:val="16"/>
    </w:rPr>
  </w:style>
  <w:style w:type="character" w:customStyle="1" w:styleId="BalloonTextChar">
    <w:name w:val="Balloon Text Char"/>
    <w:basedOn w:val="DefaultParagraphFont"/>
    <w:link w:val="BalloonText"/>
    <w:rsid w:val="00A51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30C"/>
    <w:rPr>
      <w:b/>
      <w:color w:val="660033"/>
      <w:spacing w:val="0"/>
    </w:rPr>
  </w:style>
  <w:style w:type="paragraph" w:customStyle="1" w:styleId="Nameditemlist">
    <w:name w:val="Named item list"/>
    <w:basedOn w:val="BodyText"/>
    <w:qFormat/>
    <w:rsid w:val="00A5130C"/>
    <w:pPr>
      <w:tabs>
        <w:tab w:val="left" w:pos="2835"/>
      </w:tabs>
      <w:ind w:left="2835" w:hanging="2835"/>
    </w:pPr>
  </w:style>
  <w:style w:type="paragraph" w:customStyle="1" w:styleId="BodyTextnopadding">
    <w:name w:val="Body Text no padding"/>
    <w:basedOn w:val="BodyText"/>
    <w:qFormat/>
    <w:rsid w:val="00A5130C"/>
    <w:pPr>
      <w:spacing w:before="0" w:after="0"/>
    </w:pPr>
  </w:style>
  <w:style w:type="paragraph" w:customStyle="1" w:styleId="BodyTextBold">
    <w:name w:val="Body Text Bold"/>
    <w:basedOn w:val="BodyText"/>
    <w:qFormat/>
    <w:rsid w:val="00A5130C"/>
    <w:rPr>
      <w:b/>
    </w:rPr>
  </w:style>
  <w:style w:type="character" w:styleId="Hyperlink">
    <w:name w:val="Hyperlink"/>
    <w:basedOn w:val="DefaultParagraphFont"/>
    <w:uiPriority w:val="99"/>
    <w:unhideWhenUsed/>
    <w:rsid w:val="00894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4770</Characters>
  <Application>Microsoft Office Word</Application>
  <DocSecurity>0</DocSecurity>
  <Lines>238</Lines>
  <Paragraphs>133</Paragraphs>
  <ScaleCrop>false</ScaleCrop>
  <Company>Author-it Software Corporation Ltd.</Company>
  <LinksUpToDate>false</LinksUpToDate>
  <CharactersWithSpaces>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MSTTX3010 Monitor textile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