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4924" w:rsidP="00B84924">
      <w:pPr>
        <w:pStyle w:val="Title"/>
      </w:pPr>
      <w:r>
        <w:fldChar w:fldCharType="begin"/>
      </w:r>
      <w:r>
        <w:instrText xml:space="preserve"> TITLE   \* MERGEFORMAT </w:instrText>
      </w:r>
      <w:r>
        <w:fldChar w:fldCharType="separate"/>
      </w:r>
      <w:r>
        <w:t>MSTTN2004 Undertake web bonding processes</w:t>
      </w:r>
      <w:r>
        <w:fldChar w:fldCharType="end"/>
      </w:r>
    </w:p>
    <w:p w:rsidR="00B84924" w:rsidP="00B84924">
      <w:pPr>
        <w:pStyle w:val="Version"/>
        <w:sectPr w:rsidSect="002249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49B9" w:rsidP="002249B9">
      <w:pPr>
        <w:pStyle w:val="SuperHeading"/>
      </w:pPr>
      <w:r w:rsidRPr="002249B9">
        <w:t>MSTTN2004 Undertake web bonding processes</w:t>
      </w:r>
    </w:p>
    <w:p w:rsidR="00000000" w:rsidRPr="002249B9" w:rsidP="002249B9">
      <w:pPr>
        <w:pStyle w:val="Heading1"/>
      </w:pPr>
      <w:bookmarkStart w:id="1" w:name="O_936773"/>
      <w:bookmarkEnd w:id="1"/>
      <w:r w:rsidRPr="002249B9">
        <w:t>Modification History</w:t>
      </w:r>
    </w:p>
    <w:p w:rsidR="00000000" w:rsidRPr="002249B9" w:rsidP="00B84924">
      <w:pPr>
        <w:pStyle w:val="BodyText"/>
      </w:pPr>
      <w:r w:rsidRPr="002249B9">
        <w:t>Release 1. Supersedes and is equivalent to LMTTN2004B Undertake web bonding processes</w:t>
      </w:r>
    </w:p>
    <w:p w:rsidR="00000000" w:rsidRPr="002249B9" w:rsidP="002249B9">
      <w:pPr>
        <w:pStyle w:val="Heading1"/>
      </w:pPr>
      <w:bookmarkStart w:id="2" w:name="O_936781"/>
      <w:bookmarkEnd w:id="2"/>
      <w:r w:rsidRPr="002249B9">
        <w:t>Application</w:t>
      </w:r>
    </w:p>
    <w:p w:rsidR="00000000" w:rsidRPr="002249B9" w:rsidP="00B84924">
      <w:pPr>
        <w:pStyle w:val="BodyText"/>
      </w:pPr>
      <w:r w:rsidRPr="002249B9">
        <w:t xml:space="preserve">This unit of competency covers the skills and knowledge required to undertake web bonding processes. </w:t>
      </w:r>
    </w:p>
    <w:p w:rsidR="00000000" w:rsidRPr="002249B9" w:rsidP="00B84924">
      <w:pPr>
        <w:pStyle w:val="BodyText"/>
      </w:pPr>
      <w:r w:rsidRPr="002249B9">
        <w:t>The unit of compe</w:t>
      </w:r>
      <w:r w:rsidRPr="002249B9">
        <w:t>tency applies to chemical, thermal, mechanical and latex bonding processes.</w:t>
      </w:r>
    </w:p>
    <w:p w:rsidR="00000000" w:rsidRPr="002249B9" w:rsidP="00B84924">
      <w:pPr>
        <w:pStyle w:val="BodyText"/>
      </w:pPr>
      <w:r w:rsidRPr="002249B9">
        <w:t>Work may be conducted in small to large scale enterprises and may involve individual and team activities.</w:t>
      </w:r>
    </w:p>
    <w:p w:rsidR="00000000" w:rsidRPr="002249B9" w:rsidP="00B84924">
      <w:pPr>
        <w:pStyle w:val="BodyText"/>
      </w:pPr>
      <w:r w:rsidRPr="002249B9">
        <w:t>No licensing, legislative or certification requirements apply to this un</w:t>
      </w:r>
      <w:r w:rsidRPr="002249B9">
        <w:t>it at the time of publication.</w:t>
      </w:r>
    </w:p>
    <w:p w:rsidR="00000000" w:rsidRPr="002249B9" w:rsidP="002249B9">
      <w:pPr>
        <w:pStyle w:val="Heading1"/>
      </w:pPr>
      <w:bookmarkStart w:id="3" w:name="O_936780"/>
      <w:bookmarkEnd w:id="3"/>
      <w:r w:rsidRPr="002249B9">
        <w:t>Pre-requisite Unit</w:t>
      </w:r>
    </w:p>
    <w:p w:rsidR="00000000" w:rsidRPr="002249B9" w:rsidP="00B84924">
      <w:pPr>
        <w:pStyle w:val="BodyText"/>
      </w:pPr>
      <w:r w:rsidRPr="002249B9">
        <w:t>Nil</w:t>
      </w:r>
    </w:p>
    <w:p w:rsidR="00000000" w:rsidRPr="002249B9" w:rsidP="002249B9">
      <w:pPr>
        <w:pStyle w:val="Heading1"/>
      </w:pPr>
      <w:bookmarkStart w:id="4" w:name="O_936779"/>
      <w:bookmarkEnd w:id="4"/>
      <w:r w:rsidRPr="002249B9">
        <w:t>Competency Field</w:t>
      </w:r>
    </w:p>
    <w:p w:rsidR="00000000" w:rsidRPr="002249B9" w:rsidP="00B84924">
      <w:pPr>
        <w:pStyle w:val="BodyText"/>
      </w:pPr>
      <w:r w:rsidRPr="002249B9">
        <w:t>Technical textiles and non-wovens</w:t>
      </w:r>
    </w:p>
    <w:p w:rsidR="00000000" w:rsidRPr="002249B9" w:rsidP="002249B9">
      <w:pPr>
        <w:pStyle w:val="Heading1"/>
      </w:pPr>
      <w:bookmarkStart w:id="5" w:name="O_936778"/>
      <w:bookmarkEnd w:id="5"/>
      <w:r w:rsidRPr="002249B9">
        <w:t>Unit Sector</w:t>
      </w:r>
    </w:p>
    <w:p w:rsidR="00000000" w:rsidRPr="002249B9" w:rsidP="00B84924">
      <w:pPr>
        <w:pStyle w:val="BodyText"/>
      </w:pPr>
      <w:r w:rsidRPr="002249B9">
        <w:t>Not applicable</w:t>
      </w:r>
    </w:p>
    <w:p w:rsidR="00000000" w:rsidRPr="002249B9" w:rsidP="002249B9">
      <w:pPr>
        <w:pStyle w:val="Heading1"/>
      </w:pPr>
      <w:bookmarkStart w:id="6" w:name="O_936777"/>
      <w:bookmarkEnd w:id="6"/>
      <w:r w:rsidRPr="002249B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249B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 xml:space="preserve">Elements describe the </w:t>
            </w:r>
            <w:r w:rsidRPr="002249B9">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Performance criteria describe the performance needed to demonstrate achievement of the element.</w:t>
            </w:r>
          </w:p>
        </w:tc>
      </w:tr>
      <w:tr w:rsidTr="002249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249B9" w:rsidP="002249B9">
            <w:pPr>
              <w:pStyle w:val="BodyText"/>
            </w:pPr>
            <w:r w:rsidRPr="002249B9">
              <w:t>1</w:t>
            </w:r>
          </w:p>
        </w:tc>
        <w:tc>
          <w:tcPr>
            <w:tcW w:w="1962" w:type="dxa"/>
            <w:vMerge w:val="restart"/>
            <w:tcBorders>
              <w:top w:val="nil"/>
              <w:left w:val="nil"/>
              <w:bottom w:val="nil"/>
              <w:right w:val="nil"/>
            </w:tcBorders>
            <w:tcMar>
              <w:top w:w="0" w:type="dxa"/>
              <w:left w:w="62" w:type="dxa"/>
              <w:bottom w:w="0" w:type="dxa"/>
              <w:right w:w="62" w:type="dxa"/>
            </w:tcMar>
          </w:tcPr>
          <w:p w:rsidR="00000000" w:rsidRPr="002249B9" w:rsidP="002249B9">
            <w:pPr>
              <w:pStyle w:val="BodyText"/>
            </w:pPr>
            <w:r w:rsidRPr="002249B9">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1.1</w:t>
            </w:r>
          </w:p>
        </w:tc>
        <w:tc>
          <w:tcPr>
            <w:tcW w:w="561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Follow standard operating procedures (SOPs)</w:t>
            </w:r>
          </w:p>
        </w:tc>
      </w:tr>
      <w:tr w:rsidTr="002249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1.2</w:t>
            </w:r>
          </w:p>
        </w:tc>
        <w:tc>
          <w:tcPr>
            <w:tcW w:w="561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Comply with work health and safety (WHS) requirements at all times</w:t>
            </w:r>
          </w:p>
        </w:tc>
      </w:tr>
      <w:tr w:rsidTr="002249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1.3</w:t>
            </w:r>
          </w:p>
        </w:tc>
        <w:tc>
          <w:tcPr>
            <w:tcW w:w="561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Use appropriate personal protective equipment (PPE) in accordance with SOPs</w:t>
            </w:r>
          </w:p>
        </w:tc>
      </w:tr>
      <w:tr w:rsidTr="002249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1.4</w:t>
            </w:r>
          </w:p>
        </w:tc>
        <w:tc>
          <w:tcPr>
            <w:tcW w:w="561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Identify job requirements from specifications, drawings, job sheets or work instructions</w:t>
            </w:r>
          </w:p>
        </w:tc>
      </w:tr>
      <w:tr w:rsidTr="002249B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249B9">
            <w:pPr>
              <w:pStyle w:val="BodyText"/>
              <w:rPr>
                <w:lang w:val="en-NZ"/>
              </w:rPr>
            </w:pPr>
          </w:p>
        </w:tc>
      </w:tr>
      <w:tr w:rsidTr="002249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249B9" w:rsidP="002249B9">
            <w:pPr>
              <w:pStyle w:val="BodyText"/>
            </w:pPr>
            <w:r w:rsidRPr="002249B9">
              <w:t>2</w:t>
            </w:r>
          </w:p>
        </w:tc>
        <w:tc>
          <w:tcPr>
            <w:tcW w:w="1962" w:type="dxa"/>
            <w:vMerge w:val="restart"/>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rPr>
                <w:rStyle w:val="SpecialBold"/>
              </w:rPr>
              <w:t>Prepare for web bonding</w:t>
            </w:r>
          </w:p>
        </w:tc>
        <w:tc>
          <w:tcPr>
            <w:tcW w:w="77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2.1</w:t>
            </w:r>
          </w:p>
        </w:tc>
        <w:tc>
          <w:tcPr>
            <w:tcW w:w="561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Check specifications to identify requirements for production</w:t>
            </w:r>
          </w:p>
        </w:tc>
      </w:tr>
      <w:tr w:rsidTr="002249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2.2</w:t>
            </w:r>
          </w:p>
        </w:tc>
        <w:tc>
          <w:tcPr>
            <w:tcW w:w="561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Identify web bonding process, and where options exist, select correct web bonding process according to product requirements</w:t>
            </w:r>
          </w:p>
        </w:tc>
      </w:tr>
      <w:tr w:rsidTr="002249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2.3</w:t>
            </w:r>
          </w:p>
        </w:tc>
        <w:tc>
          <w:tcPr>
            <w:tcW w:w="561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Check bonding raw material su</w:t>
            </w:r>
            <w:r w:rsidRPr="002249B9">
              <w:t>pply where appropriate</w:t>
            </w:r>
          </w:p>
        </w:tc>
      </w:tr>
      <w:tr w:rsidTr="002249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2.4</w:t>
            </w:r>
          </w:p>
        </w:tc>
        <w:tc>
          <w:tcPr>
            <w:tcW w:w="561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Set machine controls to meet product requirements</w:t>
            </w:r>
          </w:p>
        </w:tc>
      </w:tr>
      <w:tr w:rsidTr="002249B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249B9">
            <w:pPr>
              <w:pStyle w:val="BodyText"/>
              <w:rPr>
                <w:lang w:val="en-NZ"/>
              </w:rPr>
            </w:pPr>
          </w:p>
        </w:tc>
      </w:tr>
      <w:tr w:rsidTr="002249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249B9" w:rsidP="002249B9">
            <w:pPr>
              <w:pStyle w:val="BodyText"/>
            </w:pPr>
            <w:r w:rsidRPr="002249B9">
              <w:t>3</w:t>
            </w:r>
          </w:p>
        </w:tc>
        <w:tc>
          <w:tcPr>
            <w:tcW w:w="1962" w:type="dxa"/>
            <w:vMerge w:val="restart"/>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rPr>
                <w:rStyle w:val="SpecialBold"/>
              </w:rPr>
              <w:t>Undertake web bonding</w:t>
            </w:r>
          </w:p>
        </w:tc>
        <w:tc>
          <w:tcPr>
            <w:tcW w:w="77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3.1</w:t>
            </w:r>
          </w:p>
        </w:tc>
        <w:tc>
          <w:tcPr>
            <w:tcW w:w="561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Check formed web supply and speed conforms to specification</w:t>
            </w:r>
          </w:p>
        </w:tc>
      </w:tr>
      <w:tr w:rsidTr="002249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3.2</w:t>
            </w:r>
          </w:p>
        </w:tc>
        <w:tc>
          <w:tcPr>
            <w:tcW w:w="561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Monitor web bonding process and adjust operational parameters to meet product requirements.</w:t>
            </w:r>
          </w:p>
        </w:tc>
      </w:tr>
      <w:tr w:rsidTr="002249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3.3</w:t>
            </w:r>
          </w:p>
        </w:tc>
        <w:tc>
          <w:tcPr>
            <w:tcW w:w="561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Monitor machine operations to ensure safe and correct operation</w:t>
            </w:r>
          </w:p>
        </w:tc>
      </w:tr>
      <w:tr w:rsidTr="002249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3.4</w:t>
            </w:r>
          </w:p>
        </w:tc>
        <w:tc>
          <w:tcPr>
            <w:tcW w:w="561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Identify, correct and report minor product, process and machine faults where necessary</w:t>
            </w:r>
            <w:r w:rsidRPr="002249B9">
              <w:t xml:space="preserve"> to meet specified requirements</w:t>
            </w:r>
          </w:p>
        </w:tc>
      </w:tr>
      <w:tr w:rsidTr="002249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3.5</w:t>
            </w:r>
          </w:p>
        </w:tc>
        <w:tc>
          <w:tcPr>
            <w:tcW w:w="561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Operate machine according to WHS and workplace practices and report major machine faults</w:t>
            </w:r>
          </w:p>
        </w:tc>
      </w:tr>
      <w:tr w:rsidTr="002249B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249B9">
            <w:pPr>
              <w:pStyle w:val="BodyText"/>
              <w:rPr>
                <w:lang w:val="en-NZ"/>
              </w:rPr>
            </w:pPr>
          </w:p>
        </w:tc>
      </w:tr>
      <w:tr w:rsidTr="002249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249B9" w:rsidP="002249B9">
            <w:pPr>
              <w:pStyle w:val="BodyText"/>
            </w:pPr>
            <w:r w:rsidRPr="002249B9">
              <w:t>4</w:t>
            </w:r>
          </w:p>
        </w:tc>
        <w:tc>
          <w:tcPr>
            <w:tcW w:w="1962" w:type="dxa"/>
            <w:vMerge w:val="restart"/>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rPr>
                <w:rStyle w:val="SpecialBold"/>
              </w:rPr>
              <w:t>Check quality and complete web bonding process</w:t>
            </w:r>
          </w:p>
        </w:tc>
        <w:tc>
          <w:tcPr>
            <w:tcW w:w="77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4.1</w:t>
            </w:r>
          </w:p>
        </w:tc>
        <w:tc>
          <w:tcPr>
            <w:tcW w:w="561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Check bonded web against quality st</w:t>
            </w:r>
            <w:r w:rsidRPr="002249B9">
              <w:t>andards and production requirements</w:t>
            </w:r>
          </w:p>
        </w:tc>
      </w:tr>
      <w:tr w:rsidTr="002249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4.2</w:t>
            </w:r>
          </w:p>
        </w:tc>
        <w:tc>
          <w:tcPr>
            <w:tcW w:w="561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 xml:space="preserve">Identify, rectify or report bonded web faults and non-conformances </w:t>
            </w:r>
          </w:p>
        </w:tc>
      </w:tr>
      <w:tr w:rsidTr="002249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4.3</w:t>
            </w:r>
          </w:p>
        </w:tc>
        <w:tc>
          <w:tcPr>
            <w:tcW w:w="561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Send bonded web for web conversion and finishing or next manufacturing or packing process</w:t>
            </w:r>
          </w:p>
        </w:tc>
      </w:tr>
      <w:tr w:rsidTr="002249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4.4</w:t>
            </w:r>
          </w:p>
        </w:tc>
        <w:tc>
          <w:tcPr>
            <w:tcW w:w="561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Clean area to maintain a safe and productive work environment</w:t>
            </w:r>
          </w:p>
        </w:tc>
      </w:tr>
      <w:tr w:rsidTr="002249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4.5</w:t>
            </w:r>
          </w:p>
        </w:tc>
        <w:tc>
          <w:tcPr>
            <w:tcW w:w="5610" w:type="dxa"/>
            <w:tcBorders>
              <w:top w:val="nil"/>
              <w:left w:val="nil"/>
              <w:bottom w:val="nil"/>
              <w:right w:val="nil"/>
            </w:tcBorders>
            <w:tcMar>
              <w:top w:w="0" w:type="dxa"/>
              <w:left w:w="62" w:type="dxa"/>
              <w:bottom w:w="0" w:type="dxa"/>
              <w:right w:w="62" w:type="dxa"/>
            </w:tcMar>
          </w:tcPr>
          <w:p w:rsidR="00000000" w:rsidRPr="002249B9" w:rsidP="002249B9">
            <w:pPr>
              <w:pStyle w:val="BodyText"/>
            </w:pPr>
            <w:r w:rsidRPr="002249B9">
              <w:t>Complete production records</w:t>
            </w:r>
          </w:p>
        </w:tc>
      </w:tr>
    </w:tbl>
    <w:p w:rsidR="00000000" w:rsidRPr="002249B9" w:rsidP="002249B9">
      <w:pPr>
        <w:pStyle w:val="BodyText"/>
      </w:pPr>
    </w:p>
    <w:p w:rsidR="00000000" w:rsidRPr="002249B9" w:rsidP="002249B9">
      <w:pPr>
        <w:pStyle w:val="AllowPageBreak"/>
      </w:pPr>
    </w:p>
    <w:p w:rsidR="00000000" w:rsidRPr="002249B9" w:rsidP="002249B9">
      <w:pPr>
        <w:pStyle w:val="Heading1"/>
      </w:pPr>
      <w:bookmarkStart w:id="7" w:name="O_936776"/>
      <w:bookmarkEnd w:id="7"/>
      <w:r w:rsidRPr="002249B9">
        <w:t>Foundation Skills</w:t>
      </w:r>
    </w:p>
    <w:p w:rsidR="00000000" w:rsidRPr="002249B9" w:rsidP="00B84924">
      <w:pPr>
        <w:pStyle w:val="BodyText"/>
      </w:pPr>
      <w:r w:rsidRPr="002249B9">
        <w:t>This section describes those required skills (language, literacy and numeracy) that are essential to performance.</w:t>
      </w:r>
    </w:p>
    <w:p w:rsidR="00000000" w:rsidRPr="002249B9" w:rsidP="00B84924">
      <w:pPr>
        <w:pStyle w:val="BodyText"/>
      </w:pPr>
      <w:r w:rsidRPr="002249B9">
        <w:t>Foundation skills essential to performance are explicit in the performance criteria of this unit of competency.</w:t>
      </w:r>
    </w:p>
    <w:p w:rsidR="00000000" w:rsidRPr="002249B9" w:rsidP="002249B9">
      <w:pPr>
        <w:pStyle w:val="Heading1"/>
      </w:pPr>
      <w:bookmarkStart w:id="8" w:name="O_936775"/>
      <w:bookmarkEnd w:id="8"/>
      <w:r w:rsidRPr="002249B9">
        <w:t>Range of Conditions</w:t>
      </w:r>
    </w:p>
    <w:tbl>
      <w:tblPr>
        <w:tblW w:w="0" w:type="auto"/>
        <w:tblCellMar>
          <w:left w:w="62" w:type="dxa"/>
          <w:right w:w="62" w:type="dxa"/>
        </w:tblCellMar>
        <w:tblLook w:val="0000"/>
      </w:tblPr>
      <w:tblGrid>
        <w:gridCol w:w="2163"/>
        <w:gridCol w:w="7033"/>
      </w:tblGrid>
      <w:tr w:rsidTr="00B8492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t>This field allows for different work environments and conditions that may affect performance. Essential ope</w:t>
            </w:r>
            <w:r w:rsidRPr="002249B9">
              <w:t>rating conditions that may be present (depending on the work situation, needs of the candidate, accessibility of the item, and local industry and regional contexts) are included.</w:t>
            </w:r>
          </w:p>
        </w:tc>
      </w:tr>
      <w:tr w:rsidTr="00B849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249B9" w:rsidP="002249B9">
            <w:pPr>
              <w:pStyle w:val="ListBullet"/>
            </w:pPr>
            <w:r w:rsidRPr="002249B9">
              <w:t>requirements prescribed by legislation, awards, agreements and conditions of employment</w:t>
            </w:r>
          </w:p>
          <w:p w:rsidR="00000000" w:rsidRPr="002249B9" w:rsidP="002249B9">
            <w:pPr>
              <w:pStyle w:val="ListBullet"/>
            </w:pPr>
            <w:r w:rsidRPr="002249B9">
              <w:t>SOPs</w:t>
            </w:r>
          </w:p>
          <w:p w:rsidR="00000000" w:rsidRPr="002249B9" w:rsidP="002249B9">
            <w:pPr>
              <w:pStyle w:val="ListBullet"/>
            </w:pPr>
            <w:r w:rsidRPr="002249B9">
              <w:t>work instructions</w:t>
            </w:r>
          </w:p>
          <w:p w:rsidR="00000000" w:rsidRPr="002249B9" w:rsidP="002249B9">
            <w:pPr>
              <w:pStyle w:val="ListBullet"/>
            </w:pPr>
            <w:r w:rsidRPr="002249B9">
              <w:t>oral, written and visual communication</w:t>
            </w:r>
          </w:p>
          <w:p w:rsidR="00000000" w:rsidRPr="002249B9" w:rsidP="002249B9">
            <w:pPr>
              <w:pStyle w:val="ListBullet"/>
            </w:pPr>
            <w:r w:rsidRPr="002249B9">
              <w:t>quality practices, including responsibility for maintenance of own work quality and contribution to qualit</w:t>
            </w:r>
            <w:r w:rsidRPr="002249B9">
              <w:t>y improvement of team or section output</w:t>
            </w:r>
          </w:p>
          <w:p w:rsidR="00000000" w:rsidRPr="002249B9" w:rsidP="002249B9">
            <w:pPr>
              <w:pStyle w:val="ListBullet"/>
            </w:pPr>
            <w:r w:rsidRPr="002249B9">
              <w:t>housekeeping</w:t>
            </w:r>
          </w:p>
          <w:p w:rsidR="00000000" w:rsidRPr="002249B9" w:rsidP="002249B9">
            <w:pPr>
              <w:pStyle w:val="ListBullet"/>
            </w:pPr>
            <w:r w:rsidRPr="002249B9">
              <w:t>tasks related to environmental protection, waste disposal, pollution control and recycling</w:t>
            </w:r>
          </w:p>
          <w:p w:rsidR="00000000" w:rsidRPr="002249B9" w:rsidP="002249B9">
            <w:pPr>
              <w:pStyle w:val="ListBullet"/>
            </w:pPr>
            <w:r w:rsidRPr="002249B9">
              <w:t>WHS practices</w:t>
            </w:r>
          </w:p>
          <w:p w:rsidR="00000000" w:rsidP="002249B9">
            <w:pPr>
              <w:pStyle w:val="BodyText"/>
              <w:rPr>
                <w:lang w:val="en-NZ"/>
              </w:rPr>
            </w:pPr>
          </w:p>
        </w:tc>
      </w:tr>
      <w:tr w:rsidTr="00B849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2249B9" w:rsidP="002249B9">
            <w:pPr>
              <w:pStyle w:val="ListBullet"/>
            </w:pPr>
            <w:r w:rsidRPr="002249B9">
              <w:t>the relevant industry or Australian Standards that are current at the time this unit is being undertaken</w:t>
            </w:r>
          </w:p>
          <w:p w:rsidR="00000000" w:rsidP="002249B9">
            <w:pPr>
              <w:pStyle w:val="BodyText"/>
              <w:rPr>
                <w:lang w:val="en-NZ"/>
              </w:rPr>
            </w:pPr>
          </w:p>
        </w:tc>
      </w:tr>
      <w:tr w:rsidTr="00B849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249B9" w:rsidP="002249B9">
            <w:pPr>
              <w:pStyle w:val="BodyText"/>
            </w:pPr>
            <w:r w:rsidRPr="002249B9">
              <w:rPr>
                <w:rStyle w:val="SpecialBold"/>
              </w:rPr>
              <w:t>Web bonding processes include one or more of the following:</w:t>
            </w:r>
          </w:p>
          <w:p w:rsidR="00000000" w:rsidP="002249B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249B9" w:rsidP="002249B9">
            <w:pPr>
              <w:pStyle w:val="ListBullet"/>
            </w:pPr>
            <w:r w:rsidRPr="002249B9">
              <w:t>chemical bonding:</w:t>
            </w:r>
          </w:p>
          <w:p w:rsidR="00000000" w:rsidRPr="002249B9" w:rsidP="002249B9">
            <w:pPr>
              <w:pStyle w:val="ListBullet2"/>
            </w:pPr>
            <w:r w:rsidRPr="002249B9">
              <w:t>solvent bonding</w:t>
            </w:r>
          </w:p>
          <w:p w:rsidR="00000000" w:rsidRPr="002249B9" w:rsidP="002249B9">
            <w:pPr>
              <w:pStyle w:val="ListBullet2"/>
            </w:pPr>
            <w:r w:rsidRPr="002249B9">
              <w:t>foam bonding</w:t>
            </w:r>
          </w:p>
          <w:p w:rsidR="00000000" w:rsidRPr="002249B9" w:rsidP="002249B9">
            <w:pPr>
              <w:pStyle w:val="ListBullet2"/>
            </w:pPr>
            <w:r w:rsidRPr="002249B9">
              <w:t>hydrogen bonding</w:t>
            </w:r>
          </w:p>
          <w:p w:rsidR="00000000" w:rsidRPr="002249B9" w:rsidP="002249B9">
            <w:pPr>
              <w:pStyle w:val="ListBullet2"/>
            </w:pPr>
            <w:r w:rsidRPr="002249B9">
              <w:t>print bonding</w:t>
            </w:r>
          </w:p>
          <w:p w:rsidR="00000000" w:rsidRPr="002249B9" w:rsidP="002249B9">
            <w:pPr>
              <w:pStyle w:val="ListBullet2"/>
            </w:pPr>
            <w:r w:rsidRPr="002249B9">
              <w:t>latex addition to formed web</w:t>
            </w:r>
          </w:p>
          <w:p w:rsidR="00000000" w:rsidRPr="002249B9" w:rsidP="002249B9">
            <w:pPr>
              <w:pStyle w:val="ListBullet2"/>
            </w:pPr>
            <w:r w:rsidRPr="002249B9">
              <w:t>inorganic binders</w:t>
            </w:r>
          </w:p>
          <w:p w:rsidR="00000000" w:rsidRPr="002249B9" w:rsidP="002249B9">
            <w:pPr>
              <w:pStyle w:val="ListBullet"/>
            </w:pPr>
            <w:r w:rsidRPr="002249B9">
              <w:t xml:space="preserve">thermal bonding (for fusible, bi-component and co-polyester fibres): </w:t>
            </w:r>
          </w:p>
          <w:p w:rsidR="00000000" w:rsidRPr="002249B9" w:rsidP="002249B9">
            <w:pPr>
              <w:pStyle w:val="ListBullet2"/>
            </w:pPr>
            <w:r w:rsidRPr="002249B9">
              <w:t xml:space="preserve">calender bonding </w:t>
            </w:r>
          </w:p>
          <w:p w:rsidR="00000000" w:rsidRPr="002249B9" w:rsidP="002249B9">
            <w:pPr>
              <w:pStyle w:val="ListBullet2"/>
            </w:pPr>
            <w:r w:rsidRPr="002249B9">
              <w:t xml:space="preserve">engraved calender bonding </w:t>
            </w:r>
          </w:p>
          <w:p w:rsidR="00000000" w:rsidRPr="002249B9" w:rsidP="002249B9">
            <w:pPr>
              <w:pStyle w:val="ListBullet2"/>
            </w:pPr>
            <w:r w:rsidRPr="002249B9">
              <w:t>air bonding</w:t>
            </w:r>
          </w:p>
          <w:p w:rsidR="00000000" w:rsidRPr="002249B9" w:rsidP="002249B9">
            <w:pPr>
              <w:pStyle w:val="ListBullet"/>
            </w:pPr>
            <w:r w:rsidRPr="002249B9">
              <w:t>mechanical bonding:</w:t>
            </w:r>
          </w:p>
          <w:p w:rsidR="00000000" w:rsidRPr="002249B9" w:rsidP="002249B9">
            <w:pPr>
              <w:pStyle w:val="ListBullet2"/>
            </w:pPr>
            <w:r w:rsidRPr="002249B9">
              <w:t>needle punch</w:t>
            </w:r>
          </w:p>
          <w:p w:rsidR="00000000" w:rsidRPr="002249B9" w:rsidP="002249B9">
            <w:pPr>
              <w:pStyle w:val="ListBullet2"/>
            </w:pPr>
            <w:r w:rsidRPr="002249B9">
              <w:t>stitchbond</w:t>
            </w:r>
          </w:p>
          <w:p w:rsidR="00000000" w:rsidRPr="002249B9" w:rsidP="002249B9">
            <w:pPr>
              <w:pStyle w:val="ListBullet2"/>
            </w:pPr>
            <w:r w:rsidRPr="002249B9">
              <w:t>hydro-entanglement</w:t>
            </w:r>
          </w:p>
          <w:p w:rsidR="00000000" w:rsidP="002249B9">
            <w:pPr>
              <w:pStyle w:val="BodyText"/>
              <w:rPr>
                <w:lang w:val="en-NZ"/>
              </w:rPr>
            </w:pPr>
          </w:p>
        </w:tc>
      </w:tr>
      <w:tr w:rsidTr="00B849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249B9" w:rsidP="002249B9">
            <w:pPr>
              <w:pStyle w:val="BodyText"/>
            </w:pPr>
            <w:r w:rsidRPr="002249B9">
              <w:rPr>
                <w:rStyle w:val="SpecialBold"/>
              </w:rPr>
              <w:t>Machine operations include one or more of the following:</w:t>
            </w:r>
          </w:p>
          <w:p w:rsidR="00000000" w:rsidP="002249B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249B9" w:rsidP="002249B9">
            <w:pPr>
              <w:pStyle w:val="ListBullet"/>
            </w:pPr>
            <w:r w:rsidRPr="002249B9">
              <w:t>speed settings for web progression</w:t>
            </w:r>
          </w:p>
          <w:p w:rsidR="00000000" w:rsidRPr="002249B9" w:rsidP="002249B9">
            <w:pPr>
              <w:pStyle w:val="ListBullet"/>
            </w:pPr>
            <w:r w:rsidRPr="002249B9">
              <w:t>heat settings</w:t>
            </w:r>
          </w:p>
          <w:p w:rsidR="00000000" w:rsidRPr="002249B9" w:rsidP="002249B9">
            <w:pPr>
              <w:pStyle w:val="ListBullet"/>
            </w:pPr>
            <w:r w:rsidRPr="002249B9">
              <w:t>solution settings</w:t>
            </w:r>
          </w:p>
          <w:p w:rsidR="00000000" w:rsidRPr="002249B9" w:rsidP="002249B9">
            <w:pPr>
              <w:pStyle w:val="ListBullet"/>
            </w:pPr>
            <w:r w:rsidRPr="002249B9">
              <w:t>needle punch settings</w:t>
            </w:r>
          </w:p>
          <w:p w:rsidR="00000000" w:rsidRPr="002249B9" w:rsidP="002249B9">
            <w:pPr>
              <w:pStyle w:val="ListBullet"/>
            </w:pPr>
            <w:r w:rsidRPr="002249B9">
              <w:t>settings made using computer, mechanical and electronic controls</w:t>
            </w:r>
          </w:p>
          <w:p w:rsidR="00000000" w:rsidP="002249B9">
            <w:pPr>
              <w:pStyle w:val="BodyText"/>
              <w:rPr>
                <w:lang w:val="en-NZ"/>
              </w:rPr>
            </w:pPr>
          </w:p>
        </w:tc>
      </w:tr>
      <w:tr w:rsidTr="00B849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49B9">
            <w:pPr>
              <w:pStyle w:val="BodyText"/>
              <w:rPr>
                <w:lang w:val="en-NZ"/>
              </w:rPr>
            </w:pPr>
            <w:r w:rsidRPr="002249B9">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2249B9" w:rsidP="002249B9">
            <w:pPr>
              <w:pStyle w:val="BodyText"/>
            </w:pPr>
            <w:r w:rsidRPr="002249B9">
              <w:t>WHS practices must include hazard identification and control, risk assessment and implementation of risk reduction measures specific to the tasks described by this unit, and include one or more of the following:</w:t>
            </w:r>
          </w:p>
          <w:p w:rsidR="00000000" w:rsidRPr="002249B9" w:rsidP="002249B9">
            <w:pPr>
              <w:pStyle w:val="ListBullet"/>
            </w:pPr>
            <w:r w:rsidRPr="002249B9">
              <w:t>manual handling techniques</w:t>
            </w:r>
          </w:p>
          <w:p w:rsidR="00000000" w:rsidRPr="002249B9" w:rsidP="002249B9">
            <w:pPr>
              <w:pStyle w:val="ListBullet"/>
            </w:pPr>
            <w:r w:rsidRPr="002249B9">
              <w:t>SOPs</w:t>
            </w:r>
          </w:p>
          <w:p w:rsidR="00000000" w:rsidRPr="002249B9" w:rsidP="002249B9">
            <w:pPr>
              <w:pStyle w:val="ListBullet"/>
            </w:pPr>
            <w:r w:rsidRPr="002249B9">
              <w:t>PPE</w:t>
            </w:r>
          </w:p>
          <w:p w:rsidR="00000000" w:rsidRPr="002249B9" w:rsidP="002249B9">
            <w:pPr>
              <w:pStyle w:val="ListBullet"/>
            </w:pPr>
            <w:r w:rsidRPr="002249B9">
              <w:t>safe ma</w:t>
            </w:r>
            <w:r w:rsidRPr="002249B9">
              <w:t>terials handling</w:t>
            </w:r>
          </w:p>
          <w:p w:rsidR="00000000" w:rsidRPr="002249B9" w:rsidP="002249B9">
            <w:pPr>
              <w:pStyle w:val="ListBullet"/>
            </w:pPr>
            <w:r w:rsidRPr="002249B9">
              <w:t>taking of rest breaks</w:t>
            </w:r>
          </w:p>
          <w:p w:rsidR="00000000" w:rsidRPr="002249B9" w:rsidP="002249B9">
            <w:pPr>
              <w:pStyle w:val="ListBullet"/>
            </w:pPr>
            <w:r w:rsidRPr="002249B9">
              <w:t>ergonomic arrangement of workplaces</w:t>
            </w:r>
          </w:p>
          <w:p w:rsidR="00000000" w:rsidRPr="002249B9" w:rsidP="002249B9">
            <w:pPr>
              <w:pStyle w:val="ListBullet"/>
            </w:pPr>
            <w:r w:rsidRPr="002249B9">
              <w:t>following marked walkways</w:t>
            </w:r>
          </w:p>
          <w:p w:rsidR="00000000" w:rsidRPr="002249B9" w:rsidP="002249B9">
            <w:pPr>
              <w:pStyle w:val="ListBullet"/>
            </w:pPr>
            <w:r w:rsidRPr="002249B9">
              <w:t>safe storage of equipment</w:t>
            </w:r>
          </w:p>
          <w:p w:rsidR="00000000" w:rsidRPr="002249B9" w:rsidP="002249B9">
            <w:pPr>
              <w:pStyle w:val="ListBullet"/>
            </w:pPr>
            <w:r w:rsidRPr="002249B9">
              <w:t>housekeeping</w:t>
            </w:r>
          </w:p>
          <w:p w:rsidR="00000000" w:rsidRPr="002249B9" w:rsidP="002249B9">
            <w:pPr>
              <w:pStyle w:val="ListBullet"/>
            </w:pPr>
            <w:r w:rsidRPr="002249B9">
              <w:t>reporting accidents and incidents</w:t>
            </w:r>
          </w:p>
          <w:p w:rsidR="00000000" w:rsidRPr="002249B9" w:rsidP="002249B9">
            <w:pPr>
              <w:pStyle w:val="ListBullet"/>
            </w:pPr>
            <w:r w:rsidRPr="002249B9">
              <w:t>other WHS practices relevant to the job and enterprise</w:t>
            </w:r>
          </w:p>
        </w:tc>
      </w:tr>
    </w:tbl>
    <w:p w:rsidR="00000000" w:rsidRPr="002249B9" w:rsidP="002249B9">
      <w:pPr>
        <w:pStyle w:val="BodyText"/>
      </w:pPr>
    </w:p>
    <w:p w:rsidR="00000000" w:rsidRPr="002249B9" w:rsidP="002249B9">
      <w:pPr>
        <w:pStyle w:val="AllowPageBreak"/>
      </w:pPr>
    </w:p>
    <w:p w:rsidR="00000000" w:rsidRPr="002249B9" w:rsidP="002249B9">
      <w:pPr>
        <w:pStyle w:val="Heading1"/>
      </w:pPr>
      <w:bookmarkStart w:id="9" w:name="O_936774"/>
      <w:bookmarkEnd w:id="9"/>
      <w:r w:rsidRPr="002249B9">
        <w:t>Unit Mapping Information</w:t>
      </w:r>
    </w:p>
    <w:p w:rsidR="00000000" w:rsidRPr="002249B9" w:rsidP="00B84924">
      <w:pPr>
        <w:pStyle w:val="BodyText"/>
      </w:pPr>
      <w:r w:rsidRPr="002249B9">
        <w:t>Release 1. Supersedes and is equivalent to LMTTN2004B Undertake web bonding processes</w:t>
      </w:r>
    </w:p>
    <w:p w:rsidR="00000000" w:rsidRPr="002249B9" w:rsidP="002249B9">
      <w:pPr>
        <w:pStyle w:val="Heading1"/>
      </w:pPr>
      <w:bookmarkStart w:id="10" w:name="O_936767"/>
      <w:bookmarkEnd w:id="10"/>
      <w:r w:rsidRPr="002249B9">
        <w:t>Links</w:t>
      </w:r>
    </w:p>
    <w:p w:rsidR="00000000" w:rsidRPr="002249B9" w:rsidP="00B84924">
      <w:pPr>
        <w:pStyle w:val="BodyText"/>
      </w:pPr>
      <w:r w:rsidRPr="002249B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B21D7">
        <w:rPr>
          <w:rStyle w:val="Hyperlink"/>
        </w:rPr>
        <w:t>https://vetnet.gov.au/Pages/TrainingDocs.aspx?q=a203ec5c-de7d-406b-b3e1-8f1a9b76e92e</w:t>
      </w:r>
      <w:r>
        <w:fldChar w:fldCharType="end"/>
      </w:r>
    </w:p>
    <w:p w:rsidR="00000000" w:rsidRPr="002249B9" w:rsidP="00B84924">
      <w:pPr>
        <w:pStyle w:val="BodyText"/>
        <w:sectPr w:rsidSect="002249B9">
          <w:headerReference w:type="default" r:id="rId10"/>
          <w:footerReference w:type="default" r:id="rId11"/>
          <w:pgSz w:w="11908" w:h="16833"/>
          <w:pgMar w:top="1702" w:right="1418" w:bottom="1702" w:left="1418" w:header="992" w:footer="992" w:gutter="0"/>
          <w:cols w:space="720"/>
          <w:noEndnote/>
          <w:docGrid w:linePitch="299"/>
        </w:sectPr>
      </w:pPr>
    </w:p>
    <w:p w:rsidR="00000000" w:rsidRPr="002249B9" w:rsidP="002249B9">
      <w:pPr>
        <w:pStyle w:val="SuperHeading"/>
      </w:pPr>
      <w:r w:rsidRPr="002249B9">
        <w:t>Assessment Requirements for MSTTN2004 Undertake web bonding processes</w:t>
      </w:r>
    </w:p>
    <w:p w:rsidR="00000000" w:rsidRPr="002249B9" w:rsidP="002249B9">
      <w:pPr>
        <w:pStyle w:val="Heading1"/>
      </w:pPr>
      <w:bookmarkStart w:id="11" w:name="O_936769"/>
      <w:bookmarkEnd w:id="11"/>
      <w:r w:rsidRPr="002249B9">
        <w:t>Modification History</w:t>
      </w:r>
    </w:p>
    <w:p w:rsidR="00000000" w:rsidRPr="002249B9" w:rsidP="00B84924">
      <w:pPr>
        <w:pStyle w:val="BodyText"/>
      </w:pPr>
      <w:r w:rsidRPr="002249B9">
        <w:t>Release 1. Supersedes and is equivalent to LMTTN2004B Undertake web bonding processes</w:t>
      </w:r>
    </w:p>
    <w:p w:rsidR="00000000" w:rsidRPr="002249B9" w:rsidP="002249B9">
      <w:pPr>
        <w:pStyle w:val="Heading1"/>
      </w:pPr>
      <w:bookmarkStart w:id="12" w:name="O_936772"/>
      <w:bookmarkEnd w:id="12"/>
      <w:r w:rsidRPr="002249B9">
        <w:t>Performance Evidence</w:t>
      </w:r>
    </w:p>
    <w:p w:rsidR="00000000" w:rsidRPr="002249B9" w:rsidP="00B84924">
      <w:pPr>
        <w:pStyle w:val="BodyText"/>
      </w:pPr>
      <w:r w:rsidRPr="002249B9">
        <w:t>Evidence required to demonstrate competence in this unit must be relevant to and satisfy the requirements of the elements and perfor</w:t>
      </w:r>
      <w:r w:rsidRPr="002249B9">
        <w:t>mance criteria, and include:</w:t>
      </w:r>
    </w:p>
    <w:p w:rsidR="00000000" w:rsidRPr="002249B9" w:rsidP="002249B9">
      <w:pPr>
        <w:pStyle w:val="ListBullet"/>
      </w:pPr>
      <w:r w:rsidRPr="002249B9">
        <w:t xml:space="preserve">reading and following work instructions, standard operating procedures (SOPs), safe work practices and other reference material </w:t>
      </w:r>
    </w:p>
    <w:p w:rsidR="00000000" w:rsidRPr="002249B9" w:rsidP="002249B9">
      <w:pPr>
        <w:pStyle w:val="ListBullet"/>
      </w:pPr>
      <w:r w:rsidRPr="002249B9">
        <w:t>applying relevant standards</w:t>
      </w:r>
    </w:p>
    <w:p w:rsidR="00000000" w:rsidRPr="002249B9" w:rsidP="002249B9">
      <w:pPr>
        <w:pStyle w:val="ListBullet"/>
      </w:pPr>
      <w:r w:rsidRPr="002249B9">
        <w:t>interpreting production orders and schedules</w:t>
      </w:r>
    </w:p>
    <w:p w:rsidR="00000000" w:rsidRPr="002249B9" w:rsidP="002249B9">
      <w:pPr>
        <w:pStyle w:val="ListBullet"/>
      </w:pPr>
      <w:r w:rsidRPr="002249B9">
        <w:t>setting and checking mac</w:t>
      </w:r>
      <w:r w:rsidRPr="002249B9">
        <w:t>hine settings to meet production requirements on at least two (2) occasions</w:t>
      </w:r>
    </w:p>
    <w:p w:rsidR="00000000" w:rsidRPr="002249B9" w:rsidP="002249B9">
      <w:pPr>
        <w:pStyle w:val="ListBullet"/>
      </w:pPr>
      <w:r w:rsidRPr="002249B9">
        <w:t>monitoring web bonding operations according to defined procedures and methods on at least two (2) occasions</w:t>
      </w:r>
    </w:p>
    <w:p w:rsidR="00000000" w:rsidRPr="002249B9" w:rsidP="002249B9">
      <w:pPr>
        <w:pStyle w:val="ListBullet"/>
      </w:pPr>
      <w:r w:rsidRPr="002249B9">
        <w:t>recognising, rectifying and reporting machine faults or problems as requ</w:t>
      </w:r>
      <w:r w:rsidRPr="002249B9">
        <w:t>ired</w:t>
      </w:r>
    </w:p>
    <w:p w:rsidR="00000000" w:rsidRPr="002249B9" w:rsidP="002249B9">
      <w:pPr>
        <w:pStyle w:val="ListBullet"/>
      </w:pPr>
      <w:r w:rsidRPr="002249B9">
        <w:t>making minor adjustments</w:t>
      </w:r>
    </w:p>
    <w:p w:rsidR="00000000" w:rsidRPr="002249B9" w:rsidP="002249B9">
      <w:pPr>
        <w:pStyle w:val="ListBullet"/>
      </w:pPr>
      <w:r w:rsidRPr="002249B9">
        <w:t>checking product samples against quality standards and responding to faulty product</w:t>
      </w:r>
    </w:p>
    <w:p w:rsidR="00000000" w:rsidRPr="002249B9" w:rsidP="002249B9">
      <w:pPr>
        <w:pStyle w:val="ListBullet"/>
      </w:pPr>
      <w:r w:rsidRPr="002249B9">
        <w:t>loading and unloading products</w:t>
      </w:r>
    </w:p>
    <w:p w:rsidR="00000000" w:rsidRPr="002249B9" w:rsidP="002249B9">
      <w:pPr>
        <w:pStyle w:val="ListBullet"/>
      </w:pPr>
      <w:r w:rsidRPr="002249B9">
        <w:t>completing records accurately and completely</w:t>
      </w:r>
    </w:p>
    <w:p w:rsidR="00000000" w:rsidRPr="002249B9" w:rsidP="002249B9">
      <w:pPr>
        <w:pStyle w:val="ListBullet"/>
      </w:pPr>
      <w:r w:rsidRPr="002249B9">
        <w:t>applying workplace procedures.</w:t>
      </w:r>
    </w:p>
    <w:p w:rsidR="00000000" w:rsidRPr="002249B9" w:rsidP="002249B9">
      <w:pPr>
        <w:pStyle w:val="AllowPageBreak"/>
      </w:pPr>
    </w:p>
    <w:p w:rsidR="00000000" w:rsidRPr="002249B9" w:rsidP="002249B9">
      <w:pPr>
        <w:pStyle w:val="Heading1"/>
      </w:pPr>
      <w:bookmarkStart w:id="13" w:name="O_936771"/>
      <w:bookmarkEnd w:id="13"/>
      <w:r w:rsidRPr="002249B9">
        <w:t>Knowledge Evidence</w:t>
      </w:r>
    </w:p>
    <w:p w:rsidR="00000000" w:rsidRPr="002249B9" w:rsidP="00B84924">
      <w:pPr>
        <w:pStyle w:val="BodyText"/>
      </w:pPr>
      <w:r w:rsidRPr="002249B9">
        <w:t>Evidence must be provided that demonstrates knowledge of:</w:t>
      </w:r>
    </w:p>
    <w:p w:rsidR="00000000" w:rsidRPr="002249B9" w:rsidP="002249B9">
      <w:pPr>
        <w:pStyle w:val="ListBullet"/>
      </w:pPr>
      <w:r w:rsidRPr="002249B9">
        <w:t>safe work practices and procedures and use of personal protective equipment (PPE)</w:t>
      </w:r>
    </w:p>
    <w:p w:rsidR="00000000" w:rsidRPr="002249B9" w:rsidP="002249B9">
      <w:pPr>
        <w:pStyle w:val="ListBullet"/>
      </w:pPr>
      <w:r w:rsidRPr="002249B9">
        <w:t>relevant Australian Standards</w:t>
      </w:r>
    </w:p>
    <w:p w:rsidR="00000000" w:rsidRPr="002249B9" w:rsidP="002249B9">
      <w:pPr>
        <w:pStyle w:val="ListBullet"/>
      </w:pPr>
      <w:r w:rsidRPr="002249B9">
        <w:t>web bonding processes, including chemical bonding (e.g. foam, spray or print bonding</w:t>
      </w:r>
      <w:r w:rsidRPr="002249B9">
        <w:t>), thermal bonding and mechanical bonding</w:t>
      </w:r>
    </w:p>
    <w:p w:rsidR="00000000" w:rsidRPr="002249B9" w:rsidP="002249B9">
      <w:pPr>
        <w:pStyle w:val="ListBullet"/>
      </w:pPr>
      <w:r w:rsidRPr="002249B9">
        <w:t xml:space="preserve">chemical bonding: </w:t>
      </w:r>
    </w:p>
    <w:p w:rsidR="00000000" w:rsidRPr="002249B9" w:rsidP="002249B9">
      <w:pPr>
        <w:pStyle w:val="ListBullet2"/>
      </w:pPr>
      <w:r w:rsidRPr="002249B9">
        <w:t>binding agent preparation and settings</w:t>
      </w:r>
    </w:p>
    <w:p w:rsidR="00000000" w:rsidRPr="002249B9" w:rsidP="002249B9">
      <w:pPr>
        <w:pStyle w:val="ListBullet"/>
      </w:pPr>
      <w:r w:rsidRPr="002249B9">
        <w:t xml:space="preserve">thermal bonding: </w:t>
      </w:r>
    </w:p>
    <w:p w:rsidR="00000000" w:rsidRPr="002249B9" w:rsidP="002249B9">
      <w:pPr>
        <w:pStyle w:val="ListBullet2"/>
      </w:pPr>
      <w:r w:rsidRPr="002249B9">
        <w:t>calender and air bonding for fusible, bi-component and co-polyester fibres</w:t>
      </w:r>
    </w:p>
    <w:p w:rsidR="00000000" w:rsidRPr="002249B9" w:rsidP="002249B9">
      <w:pPr>
        <w:pStyle w:val="ListBullet"/>
      </w:pPr>
      <w:r w:rsidRPr="002249B9">
        <w:t xml:space="preserve">mechanical bonding: </w:t>
      </w:r>
    </w:p>
    <w:p w:rsidR="00000000" w:rsidRPr="002249B9" w:rsidP="002249B9">
      <w:pPr>
        <w:pStyle w:val="ListBullet2"/>
      </w:pPr>
      <w:r w:rsidRPr="002249B9">
        <w:t xml:space="preserve">needle punch </w:t>
      </w:r>
    </w:p>
    <w:p w:rsidR="00000000" w:rsidRPr="002249B9" w:rsidP="002249B9">
      <w:pPr>
        <w:pStyle w:val="ListBullet2"/>
      </w:pPr>
      <w:r w:rsidRPr="002249B9">
        <w:t xml:space="preserve">stitchbond </w:t>
      </w:r>
    </w:p>
    <w:p w:rsidR="00000000" w:rsidRPr="002249B9" w:rsidP="002249B9">
      <w:pPr>
        <w:pStyle w:val="ListBullet2"/>
      </w:pPr>
      <w:r w:rsidRPr="002249B9">
        <w:t>hydro-entanglement</w:t>
      </w:r>
    </w:p>
    <w:p w:rsidR="00000000" w:rsidRPr="002249B9" w:rsidP="002249B9">
      <w:pPr>
        <w:pStyle w:val="ListBullet"/>
      </w:pPr>
      <w:r w:rsidRPr="002249B9">
        <w:t>work health and safety (WHS) practices, including hazard identification and control measures</w:t>
      </w:r>
    </w:p>
    <w:p w:rsidR="00000000" w:rsidRPr="002249B9" w:rsidP="002249B9">
      <w:pPr>
        <w:pStyle w:val="ListBullet"/>
      </w:pPr>
      <w:r w:rsidRPr="002249B9">
        <w:t>quality practices</w:t>
      </w:r>
    </w:p>
    <w:p w:rsidR="00000000" w:rsidRPr="002249B9" w:rsidP="002249B9">
      <w:pPr>
        <w:pStyle w:val="ListBullet"/>
      </w:pPr>
      <w:r w:rsidRPr="002249B9">
        <w:t>workplace procedures</w:t>
      </w:r>
    </w:p>
    <w:p w:rsidR="00000000" w:rsidRPr="002249B9" w:rsidP="002249B9">
      <w:pPr>
        <w:pStyle w:val="ListBullet"/>
      </w:pPr>
      <w:r w:rsidRPr="002249B9">
        <w:t>recording and reporting practices.</w:t>
      </w:r>
    </w:p>
    <w:p w:rsidR="00000000" w:rsidRPr="002249B9" w:rsidP="002249B9">
      <w:pPr>
        <w:pStyle w:val="AllowPageBreak"/>
      </w:pPr>
    </w:p>
    <w:p w:rsidR="00000000" w:rsidRPr="002249B9" w:rsidP="002249B9">
      <w:pPr>
        <w:pStyle w:val="Heading1"/>
      </w:pPr>
      <w:bookmarkStart w:id="14" w:name="O_936770"/>
      <w:bookmarkEnd w:id="14"/>
      <w:r w:rsidRPr="002249B9">
        <w:t>Assessment Conditions</w:t>
      </w:r>
    </w:p>
    <w:p w:rsidR="00000000" w:rsidRPr="002249B9" w:rsidP="002249B9">
      <w:pPr>
        <w:pStyle w:val="ListBullet"/>
      </w:pPr>
      <w:r w:rsidRPr="002249B9">
        <w:t>Assessors must:</w:t>
      </w:r>
    </w:p>
    <w:p w:rsidR="00000000" w:rsidRPr="002249B9" w:rsidP="002249B9">
      <w:pPr>
        <w:pStyle w:val="ListBullet2"/>
      </w:pPr>
      <w:r w:rsidRPr="002249B9">
        <w:t xml:space="preserve">satisfy the </w:t>
      </w:r>
      <w:r w:rsidRPr="002249B9">
        <w:t>assessor competency requirements that are in place at the time of the assessment, as set by the VET regulator</w:t>
      </w:r>
    </w:p>
    <w:p w:rsidR="00000000" w:rsidRPr="002249B9" w:rsidP="002249B9">
      <w:pPr>
        <w:pStyle w:val="ListBullet2"/>
      </w:pPr>
      <w:r w:rsidRPr="002249B9">
        <w:t>have vocational competency in undertaking web bonding processes, at least to the level being assessed, with relevant industry knowledge and experi</w:t>
      </w:r>
      <w:r w:rsidRPr="002249B9">
        <w:t>ence.</w:t>
      </w:r>
    </w:p>
    <w:p w:rsidR="00000000" w:rsidRPr="002249B9" w:rsidP="002249B9">
      <w:pPr>
        <w:pStyle w:val="ListBullet"/>
      </w:pPr>
      <w:r w:rsidRPr="002249B9">
        <w:t>Assessment should occur in operational workplace situations. Where this is not possible, or where personal safety or environmental damage are limiting factors, assessment must occur in a sufficiently rigorous simulated environment reflecting realist</w:t>
      </w:r>
      <w:r w:rsidRPr="002249B9">
        <w:t>ic operational workplace conditions. This must cover all aspects of workplace performance, including environment, task skills, task management skills, contingency management skills and job role environment skills.</w:t>
      </w:r>
    </w:p>
    <w:p w:rsidR="00000000" w:rsidRPr="002249B9" w:rsidP="002249B9">
      <w:pPr>
        <w:pStyle w:val="ListBullet"/>
      </w:pPr>
      <w:r w:rsidRPr="002249B9">
        <w:t>Assessment processes and techniques must b</w:t>
      </w:r>
      <w:r w:rsidRPr="002249B9">
        <w:t>e appropriate to the language, literacy and numeracy requirements of the work being performed and the needs of the candidate.</w:t>
      </w:r>
    </w:p>
    <w:p w:rsidR="00000000" w:rsidRPr="002249B9" w:rsidP="002249B9">
      <w:pPr>
        <w:pStyle w:val="ListBullet"/>
      </w:pPr>
      <w:r w:rsidRPr="002249B9">
        <w:t>Conditions for assessme</w:t>
      </w:r>
      <w:r w:rsidRPr="002249B9">
        <w:t>nt must include access to all tools, equipment, materials and documentation required including relevant workplace procedures, product and manufacturing specifications associated with this unit.</w:t>
      </w:r>
    </w:p>
    <w:p w:rsidR="00000000" w:rsidRPr="002249B9" w:rsidP="002249B9">
      <w:pPr>
        <w:pStyle w:val="AllowPageBreak"/>
      </w:pPr>
    </w:p>
    <w:p w:rsidR="00000000" w:rsidRPr="002249B9" w:rsidP="002249B9">
      <w:pPr>
        <w:pStyle w:val="Heading1"/>
      </w:pPr>
      <w:bookmarkStart w:id="15" w:name="O_936768"/>
      <w:bookmarkEnd w:id="15"/>
      <w:r w:rsidRPr="002249B9">
        <w:t>Links</w:t>
      </w:r>
    </w:p>
    <w:p w:rsidR="00000000" w:rsidRPr="002249B9" w:rsidP="00B84924">
      <w:pPr>
        <w:pStyle w:val="BodyText"/>
      </w:pPr>
      <w:r w:rsidRPr="002249B9">
        <w:t xml:space="preserve">Companion Volume implementation guides </w:t>
      </w:r>
      <w:r w:rsidRPr="002249B9">
        <w:t xml:space="preserve">are found in VETNet - </w:t>
      </w:r>
      <w:r>
        <w:fldChar w:fldCharType="begin"/>
      </w:r>
      <w:r>
        <w:instrText xml:space="preserve"> HYPERLINK "https://vetnet.gov.au/Pages/TrainingDocs.aspx?q=a203ec5c-de7d-406b-b3e1-8f1a9b76e92e" </w:instrText>
      </w:r>
      <w:r>
        <w:fldChar w:fldCharType="separate"/>
      </w:r>
      <w:r w:rsidRPr="00CB21D7">
        <w:rPr>
          <w:rStyle w:val="Hyperlink"/>
        </w:rPr>
        <w:t>https://vetnet.gov.au/Pages/TrainingDocs.aspx?q=a203ec5c-de7d-406b-b3e1-8f1a9b76e92e</w:t>
      </w:r>
      <w:r>
        <w:fldChar w:fldCharType="end"/>
      </w:r>
    </w:p>
    <w:p w:rsidR="00000000" w:rsidRPr="002249B9" w:rsidP="002249B9"/>
    <w:sectPr w:rsidSect="002249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9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9B9" w:rsidRPr="00B84924" w:rsidP="00B849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9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924" w:rsidP="002249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84924" w:rsidP="002249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84924" w:rsidP="002249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9B9" w:rsidP="002249B9">
    <w:pPr>
      <w:pStyle w:val="Footer"/>
      <w:framePr w:wrap="around"/>
    </w:pPr>
    <w:r>
      <w:fldChar w:fldCharType="begin"/>
    </w:r>
    <w:r>
      <w:instrText xml:space="preserve"> DOCPROPERTY  Subject  \* MERGEFORMAT </w:instrText>
    </w:r>
    <w:r>
      <w:fldChar w:fldCharType="separate"/>
    </w:r>
    <w:r w:rsidR="00B84924">
      <w:t>Approved</w:t>
    </w:r>
    <w:r w:rsidR="00B84924">
      <w:fldChar w:fldCharType="end"/>
    </w:r>
    <w:r>
      <w:tab/>
      <w:t xml:space="preserve">Page </w:t>
    </w:r>
    <w:r>
      <w:fldChar w:fldCharType="begin"/>
    </w:r>
    <w:r>
      <w:instrText xml:space="preserve"> PAGE  \* Arabic  \* MERGEFORMAT </w:instrText>
    </w:r>
    <w:r>
      <w:fldChar w:fldCharType="separate"/>
    </w:r>
    <w:r w:rsidR="00B8492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4924">
      <w:rPr>
        <w:noProof/>
      </w:rPr>
      <w:t>5</w:t>
    </w:r>
    <w:r>
      <w:rPr>
        <w:noProof/>
      </w:rPr>
      <w:fldChar w:fldCharType="end"/>
    </w:r>
  </w:p>
  <w:p w:rsidR="002249B9" w:rsidP="002249B9">
    <w:pPr>
      <w:pStyle w:val="Footer"/>
      <w:framePr w:wrap="around"/>
    </w:pPr>
    <w:r>
      <w:t xml:space="preserve">© Commonwealth of Australia, </w:t>
    </w:r>
    <w:r>
      <w:fldChar w:fldCharType="begin"/>
    </w:r>
    <w:r>
      <w:instrText xml:space="preserve"> DATE  \@ "yyyy"  \* MERGEFORMAT </w:instrText>
    </w:r>
    <w:r>
      <w:fldChar w:fldCharType="separate"/>
    </w:r>
    <w:r w:rsidR="00B84924">
      <w:rPr>
        <w:noProof/>
      </w:rPr>
      <w:t>2025</w:t>
    </w:r>
    <w:r>
      <w:fldChar w:fldCharType="end"/>
    </w:r>
    <w:r>
      <w:tab/>
    </w:r>
    <w:r>
      <w:fldChar w:fldCharType="begin"/>
    </w:r>
    <w:r>
      <w:instrText xml:space="preserve"> DOCPROPERTY  Author  \* MERGEFORMAT </w:instrText>
    </w:r>
    <w:r>
      <w:fldChar w:fldCharType="separate"/>
    </w:r>
    <w:r w:rsidR="00B84924">
      <w:t>Skills Insight</w:t>
    </w:r>
    <w:r w:rsidR="00B84924">
      <w:fldChar w:fldCharType="end"/>
    </w:r>
  </w:p>
  <w:p w:rsidR="002249B9" w:rsidP="002249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9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9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49B9" w:rsidRPr="00B84924" w:rsidP="00B849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9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924" w:rsidRPr="002D2AF8" w:rsidP="002249B9">
    <w:pPr>
      <w:pStyle w:val="Header"/>
      <w:framePr w:wrap="around"/>
    </w:pPr>
    <w:r>
      <w:fldChar w:fldCharType="begin"/>
    </w:r>
    <w:r>
      <w:instrText xml:space="preserve"> TITLE   \* MERGEFORMAT </w:instrText>
    </w:r>
    <w:r>
      <w:fldChar w:fldCharType="separate"/>
    </w:r>
    <w:r>
      <w:t>MSTTN2004 Undertake web bonding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4924" w:rsidP="002249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9B9" w:rsidRPr="002D2AF8" w:rsidP="002249B9">
    <w:pPr>
      <w:pStyle w:val="Header"/>
      <w:framePr w:wrap="around"/>
    </w:pPr>
    <w:r>
      <w:fldChar w:fldCharType="begin"/>
    </w:r>
    <w:r>
      <w:instrText xml:space="preserve"> TITLE   \* MERGEFORMAT </w:instrText>
    </w:r>
    <w:r>
      <w:fldChar w:fldCharType="separate"/>
    </w:r>
    <w:r w:rsidR="00B84924">
      <w:t>MSTTN2004 Undertake web bonding processes</w:t>
    </w:r>
    <w:r w:rsidR="00B84924">
      <w:fldChar w:fldCharType="end"/>
    </w:r>
    <w:r>
      <w:tab/>
      <w:t xml:space="preserve">Date this document was generated: </w:t>
    </w:r>
    <w:r>
      <w:fldChar w:fldCharType="begin"/>
    </w:r>
    <w:r>
      <w:instrText xml:space="preserve"> CREATEDATE  \@ "d MMMM yyyy"  \* MERGEFORMAT </w:instrText>
    </w:r>
    <w:r>
      <w:fldChar w:fldCharType="separate"/>
    </w:r>
    <w:r w:rsidR="00B84924">
      <w:rPr>
        <w:noProof/>
      </w:rPr>
      <w:t>2 March 2025</w:t>
    </w:r>
    <w:r>
      <w:fldChar w:fldCharType="end"/>
    </w:r>
  </w:p>
  <w:p w:rsidR="002249B9" w:rsidP="002249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7800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6029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B277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9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49B9"/>
    <w:pPr>
      <w:spacing w:before="360" w:after="60"/>
      <w:outlineLvl w:val="0"/>
    </w:pPr>
    <w:rPr>
      <w:sz w:val="32"/>
    </w:rPr>
  </w:style>
  <w:style w:type="paragraph" w:styleId="Heading2">
    <w:name w:val="heading 2"/>
    <w:basedOn w:val="HeadingBase"/>
    <w:next w:val="BodyText"/>
    <w:link w:val="Heading2Char"/>
    <w:qFormat/>
    <w:rsid w:val="002249B9"/>
    <w:pPr>
      <w:keepLines/>
      <w:spacing w:before="240" w:after="120"/>
      <w:outlineLvl w:val="1"/>
    </w:pPr>
    <w:rPr>
      <w:sz w:val="28"/>
      <w:szCs w:val="40"/>
    </w:rPr>
  </w:style>
  <w:style w:type="paragraph" w:styleId="Heading3">
    <w:name w:val="heading 3"/>
    <w:basedOn w:val="HeadingBase"/>
    <w:next w:val="BodyText"/>
    <w:link w:val="Heading3Char"/>
    <w:qFormat/>
    <w:rsid w:val="002249B9"/>
    <w:pPr>
      <w:spacing w:before="180" w:after="120"/>
      <w:outlineLvl w:val="2"/>
    </w:pPr>
    <w:rPr>
      <w:spacing w:val="-10"/>
      <w:kern w:val="32"/>
    </w:rPr>
  </w:style>
  <w:style w:type="paragraph" w:styleId="Heading4">
    <w:name w:val="heading 4"/>
    <w:basedOn w:val="HeadingBase"/>
    <w:next w:val="BodyText"/>
    <w:link w:val="Heading4Char"/>
    <w:qFormat/>
    <w:rsid w:val="002249B9"/>
    <w:pPr>
      <w:spacing w:before="160" w:after="120"/>
      <w:outlineLvl w:val="3"/>
    </w:pPr>
    <w:rPr>
      <w:sz w:val="22"/>
    </w:rPr>
  </w:style>
  <w:style w:type="paragraph" w:styleId="Heading5">
    <w:name w:val="heading 5"/>
    <w:basedOn w:val="HeadingBase"/>
    <w:next w:val="Normal"/>
    <w:link w:val="Heading5Char"/>
    <w:qFormat/>
    <w:rsid w:val="002249B9"/>
    <w:pPr>
      <w:spacing w:before="80"/>
      <w:outlineLvl w:val="4"/>
    </w:pPr>
    <w:rPr>
      <w:color w:val="918585"/>
      <w:sz w:val="20"/>
    </w:rPr>
  </w:style>
  <w:style w:type="paragraph" w:styleId="Heading6">
    <w:name w:val="heading 6"/>
    <w:basedOn w:val="HeadingBase"/>
    <w:next w:val="Normal"/>
    <w:link w:val="Heading6Char"/>
    <w:qFormat/>
    <w:rsid w:val="002249B9"/>
    <w:pPr>
      <w:spacing w:before="60"/>
      <w:outlineLvl w:val="5"/>
    </w:pPr>
    <w:rPr>
      <w:color w:val="918585"/>
      <w:sz w:val="20"/>
    </w:rPr>
  </w:style>
  <w:style w:type="paragraph" w:styleId="Heading7">
    <w:name w:val="heading 7"/>
    <w:basedOn w:val="Normal"/>
    <w:next w:val="Normal"/>
    <w:link w:val="Heading7Char"/>
    <w:qFormat/>
    <w:rsid w:val="002249B9"/>
    <w:pPr>
      <w:ind w:left="720"/>
      <w:outlineLvl w:val="6"/>
    </w:pPr>
    <w:rPr>
      <w:i/>
    </w:rPr>
  </w:style>
  <w:style w:type="paragraph" w:styleId="Heading8">
    <w:name w:val="heading 8"/>
    <w:basedOn w:val="Normal"/>
    <w:next w:val="Normal"/>
    <w:link w:val="Heading8Char"/>
    <w:qFormat/>
    <w:rsid w:val="002249B9"/>
    <w:pPr>
      <w:ind w:left="720"/>
      <w:outlineLvl w:val="7"/>
    </w:pPr>
    <w:rPr>
      <w:i/>
    </w:rPr>
  </w:style>
  <w:style w:type="paragraph" w:styleId="Heading9">
    <w:name w:val="heading 9"/>
    <w:basedOn w:val="Normal"/>
    <w:next w:val="Normal"/>
    <w:link w:val="Heading9Char"/>
    <w:qFormat/>
    <w:rsid w:val="002249B9"/>
    <w:pPr>
      <w:ind w:left="720"/>
      <w:outlineLvl w:val="8"/>
    </w:pPr>
    <w:rPr>
      <w:i/>
    </w:rPr>
  </w:style>
  <w:style w:type="character" w:default="1" w:styleId="DefaultParagraphFont">
    <w:name w:val="Default Paragraph Font"/>
    <w:uiPriority w:val="1"/>
    <w:unhideWhenUsed/>
    <w:rsid w:val="002249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49B9"/>
  </w:style>
  <w:style w:type="character" w:customStyle="1" w:styleId="Heading1Char">
    <w:name w:val="Heading 1 Char"/>
    <w:basedOn w:val="DefaultParagraphFont"/>
    <w:link w:val="Heading1"/>
    <w:rsid w:val="002249B9"/>
    <w:rPr>
      <w:rFonts w:ascii="Times New Roman" w:eastAsia="Times New Roman" w:hAnsi="Times New Roman" w:cs="Times New Roman"/>
      <w:b/>
      <w:sz w:val="32"/>
      <w:szCs w:val="20"/>
      <w:lang w:eastAsia="en-US"/>
    </w:rPr>
  </w:style>
  <w:style w:type="paragraph" w:styleId="BodyText">
    <w:name w:val="Body Text"/>
    <w:basedOn w:val="Normal"/>
    <w:link w:val="BodyTextChar"/>
    <w:rsid w:val="002249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49B9"/>
    <w:rPr>
      <w:rFonts w:ascii="Times New Roman" w:eastAsia="Times New Roman" w:hAnsi="Times New Roman" w:cs="Times New Roman"/>
      <w:sz w:val="24"/>
      <w:lang w:eastAsia="en-US"/>
    </w:rPr>
  </w:style>
  <w:style w:type="paragraph" w:styleId="ListBullet">
    <w:name w:val="List Bullet"/>
    <w:basedOn w:val="List"/>
    <w:rsid w:val="002249B9"/>
    <w:pPr>
      <w:numPr>
        <w:numId w:val="12"/>
      </w:numPr>
      <w:tabs>
        <w:tab w:val="clear" w:pos="340"/>
      </w:tabs>
      <w:spacing w:before="40" w:after="40"/>
    </w:pPr>
  </w:style>
  <w:style w:type="character" w:customStyle="1" w:styleId="SpecialBold">
    <w:name w:val="Special Bold"/>
    <w:basedOn w:val="DefaultParagraphFont"/>
    <w:rsid w:val="002249B9"/>
    <w:rPr>
      <w:b/>
      <w:spacing w:val="0"/>
    </w:rPr>
  </w:style>
  <w:style w:type="paragraph" w:styleId="ListBullet2">
    <w:name w:val="List Bullet 2"/>
    <w:basedOn w:val="List2"/>
    <w:rsid w:val="002249B9"/>
    <w:pPr>
      <w:numPr>
        <w:numId w:val="13"/>
      </w:numPr>
      <w:tabs>
        <w:tab w:val="clear" w:pos="680"/>
      </w:tabs>
    </w:pPr>
  </w:style>
  <w:style w:type="paragraph" w:customStyle="1" w:styleId="SuperHeading">
    <w:name w:val="SuperHeading"/>
    <w:basedOn w:val="Normal"/>
    <w:rsid w:val="002249B9"/>
    <w:pPr>
      <w:spacing w:before="240" w:after="120"/>
      <w:outlineLvl w:val="0"/>
    </w:pPr>
    <w:rPr>
      <w:rFonts w:ascii="Times New Roman" w:hAnsi="Times New Roman"/>
      <w:b/>
      <w:sz w:val="32"/>
    </w:rPr>
  </w:style>
  <w:style w:type="paragraph" w:customStyle="1" w:styleId="AllowPageBreak">
    <w:name w:val="AllowPageBreak"/>
    <w:rsid w:val="002249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49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49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49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49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49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49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49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49B9"/>
    <w:rPr>
      <w:rFonts w:ascii="Courier New" w:eastAsia="Times New Roman" w:hAnsi="Courier New" w:cs="Times New Roman"/>
      <w:i/>
      <w:szCs w:val="20"/>
      <w:lang w:eastAsia="en-US"/>
    </w:rPr>
  </w:style>
  <w:style w:type="paragraph" w:customStyle="1" w:styleId="HeadingBase">
    <w:name w:val="Heading Base"/>
    <w:rsid w:val="002249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49B9"/>
    <w:pPr>
      <w:tabs>
        <w:tab w:val="right" w:leader="dot" w:pos="9072"/>
      </w:tabs>
      <w:ind w:left="567"/>
    </w:pPr>
    <w:rPr>
      <w:szCs w:val="22"/>
    </w:rPr>
  </w:style>
  <w:style w:type="paragraph" w:customStyle="1" w:styleId="TOCBase">
    <w:name w:val="TOC Base"/>
    <w:rsid w:val="002249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49B9"/>
    <w:pPr>
      <w:tabs>
        <w:tab w:val="right" w:leader="dot" w:pos="9072"/>
      </w:tabs>
      <w:spacing w:before="40" w:after="40"/>
      <w:ind w:left="284"/>
    </w:pPr>
    <w:rPr>
      <w:rFonts w:ascii="Times New Roman" w:hAnsi="Times New Roman"/>
    </w:rPr>
  </w:style>
  <w:style w:type="paragraph" w:styleId="TOC1">
    <w:name w:val="toc 1"/>
    <w:basedOn w:val="TOCBase"/>
    <w:next w:val="Normal"/>
    <w:rsid w:val="002249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49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49B9"/>
    <w:rPr>
      <w:rFonts w:ascii="Times New Roman" w:eastAsia="Times New Roman" w:hAnsi="Times New Roman" w:cs="Times New Roman"/>
      <w:sz w:val="16"/>
      <w:lang w:eastAsia="en-US"/>
    </w:rPr>
  </w:style>
  <w:style w:type="paragraph" w:styleId="Title">
    <w:name w:val="Title"/>
    <w:basedOn w:val="HeadingBase"/>
    <w:link w:val="TitleChar"/>
    <w:qFormat/>
    <w:rsid w:val="002249B9"/>
    <w:pPr>
      <w:spacing w:before="5040"/>
      <w:jc w:val="center"/>
    </w:pPr>
    <w:rPr>
      <w:sz w:val="48"/>
      <w:szCs w:val="72"/>
      <w:lang w:val="en-US"/>
    </w:rPr>
  </w:style>
  <w:style w:type="character" w:customStyle="1" w:styleId="TitleChar">
    <w:name w:val="Title Char"/>
    <w:basedOn w:val="DefaultParagraphFont"/>
    <w:link w:val="Title"/>
    <w:rsid w:val="002249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49B9"/>
    <w:pPr>
      <w:tabs>
        <w:tab w:val="left" w:pos="3600"/>
        <w:tab w:val="left" w:pos="3958"/>
      </w:tabs>
    </w:pPr>
  </w:style>
  <w:style w:type="paragraph" w:styleId="List">
    <w:name w:val="List"/>
    <w:basedOn w:val="BodyText"/>
    <w:next w:val="BodyText"/>
    <w:rsid w:val="002249B9"/>
    <w:pPr>
      <w:tabs>
        <w:tab w:val="left" w:pos="340"/>
      </w:tabs>
      <w:spacing w:before="60" w:after="60"/>
      <w:ind w:left="340" w:hanging="340"/>
    </w:pPr>
  </w:style>
  <w:style w:type="paragraph" w:customStyle="1" w:styleId="Note">
    <w:name w:val="Note"/>
    <w:basedOn w:val="BodyText"/>
    <w:rsid w:val="002249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49B9"/>
    <w:pPr>
      <w:framePr w:wrap="auto" w:hAnchor="text" w:y="6049"/>
    </w:pPr>
    <w:rPr>
      <w:color w:val="000000"/>
      <w:sz w:val="40"/>
    </w:rPr>
  </w:style>
  <w:style w:type="paragraph" w:customStyle="1" w:styleId="TOCTitle">
    <w:name w:val="TOCTitle"/>
    <w:basedOn w:val="Heading1"/>
    <w:rsid w:val="002249B9"/>
    <w:pPr>
      <w:spacing w:after="240"/>
      <w:jc w:val="center"/>
      <w:outlineLvl w:val="9"/>
    </w:pPr>
    <w:rPr>
      <w:caps/>
    </w:rPr>
  </w:style>
  <w:style w:type="paragraph" w:customStyle="1" w:styleId="Version">
    <w:name w:val="Version"/>
    <w:rsid w:val="002249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49B9"/>
    <w:pPr>
      <w:keepNext w:val="0"/>
      <w:tabs>
        <w:tab w:val="right" w:pos="4176"/>
      </w:tabs>
      <w:ind w:left="198" w:hanging="198"/>
    </w:pPr>
    <w:rPr>
      <w:rFonts w:ascii="Garamond" w:hAnsi="Garamond"/>
    </w:rPr>
  </w:style>
  <w:style w:type="paragraph" w:styleId="IndexHeading">
    <w:name w:val="index heading"/>
    <w:basedOn w:val="Normal"/>
    <w:next w:val="Index1"/>
    <w:semiHidden/>
    <w:rsid w:val="002249B9"/>
    <w:pPr>
      <w:spacing w:before="120" w:after="120"/>
    </w:pPr>
    <w:rPr>
      <w:rFonts w:ascii="Arial" w:hAnsi="Arial"/>
      <w:b/>
      <w:color w:val="918585"/>
      <w:sz w:val="24"/>
    </w:rPr>
  </w:style>
  <w:style w:type="paragraph" w:styleId="Header">
    <w:name w:val="header"/>
    <w:basedOn w:val="Normal"/>
    <w:link w:val="HeaderChar"/>
    <w:rsid w:val="002249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49B9"/>
    <w:rPr>
      <w:rFonts w:ascii="Times New Roman" w:eastAsia="Times New Roman" w:hAnsi="Times New Roman" w:cs="Times New Roman"/>
      <w:sz w:val="16"/>
      <w:szCs w:val="20"/>
      <w:lang w:val="en-GB" w:eastAsia="en-US"/>
    </w:rPr>
  </w:style>
  <w:style w:type="paragraph" w:customStyle="1" w:styleId="Chapter">
    <w:name w:val="Chapter"/>
    <w:basedOn w:val="Normal"/>
    <w:rsid w:val="002249B9"/>
    <w:pPr>
      <w:spacing w:before="240"/>
    </w:pPr>
    <w:rPr>
      <w:rFonts w:ascii="Times New Roman" w:hAnsi="Times New Roman"/>
      <w:smallCaps/>
      <w:spacing w:val="80"/>
      <w:sz w:val="28"/>
    </w:rPr>
  </w:style>
  <w:style w:type="paragraph" w:customStyle="1" w:styleId="InChapter">
    <w:name w:val="InChapter"/>
    <w:basedOn w:val="Heading3"/>
    <w:rsid w:val="002249B9"/>
    <w:pPr>
      <w:spacing w:after="240"/>
      <w:outlineLvl w:val="9"/>
    </w:pPr>
    <w:rPr>
      <w:noProof/>
    </w:rPr>
  </w:style>
  <w:style w:type="paragraph" w:styleId="Index2">
    <w:name w:val="index 2"/>
    <w:basedOn w:val="Normal"/>
    <w:next w:val="Normal"/>
    <w:semiHidden/>
    <w:rsid w:val="002249B9"/>
    <w:pPr>
      <w:tabs>
        <w:tab w:val="right" w:pos="4176"/>
      </w:tabs>
      <w:ind w:left="568" w:hanging="284"/>
    </w:pPr>
    <w:rPr>
      <w:rFonts w:ascii="Garamond" w:hAnsi="Garamond"/>
    </w:rPr>
  </w:style>
  <w:style w:type="paragraph" w:customStyle="1" w:styleId="Byline">
    <w:name w:val="Byline"/>
    <w:rsid w:val="002249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49B9"/>
    <w:pPr>
      <w:tabs>
        <w:tab w:val="clear" w:pos="3600"/>
        <w:tab w:val="clear" w:pos="3958"/>
      </w:tabs>
      <w:jc w:val="right"/>
    </w:pPr>
  </w:style>
  <w:style w:type="character" w:styleId="Emphasis">
    <w:name w:val="Emphasis"/>
    <w:basedOn w:val="DefaultParagraphFont"/>
    <w:qFormat/>
    <w:rsid w:val="002249B9"/>
    <w:rPr>
      <w:i/>
    </w:rPr>
  </w:style>
  <w:style w:type="paragraph" w:styleId="Caption">
    <w:name w:val="caption"/>
    <w:basedOn w:val="BodyText"/>
    <w:next w:val="Normal"/>
    <w:qFormat/>
    <w:rsid w:val="002249B9"/>
    <w:pPr>
      <w:framePr w:w="2268" w:hSpace="181" w:vSpace="181" w:wrap="around" w:vAnchor="text" w:hAnchor="page" w:x="1135" w:y="285" w:anchorLock="1"/>
    </w:pPr>
    <w:rPr>
      <w:i/>
    </w:rPr>
  </w:style>
  <w:style w:type="paragraph" w:customStyle="1" w:styleId="MiniTOCTitle">
    <w:name w:val="MiniTOCTitle"/>
    <w:basedOn w:val="Heading4"/>
    <w:rsid w:val="002249B9"/>
    <w:pPr>
      <w:spacing w:before="240"/>
      <w:outlineLvl w:val="9"/>
    </w:pPr>
    <w:rPr>
      <w:noProof/>
      <w:sz w:val="24"/>
    </w:rPr>
  </w:style>
  <w:style w:type="paragraph" w:customStyle="1" w:styleId="MiniTOCItem">
    <w:name w:val="MiniTOCItem"/>
    <w:basedOn w:val="ListBullet"/>
    <w:rsid w:val="002249B9"/>
    <w:pPr>
      <w:numPr>
        <w:numId w:val="0"/>
      </w:numPr>
      <w:tabs>
        <w:tab w:val="right" w:leader="dot" w:pos="6521"/>
      </w:tabs>
      <w:spacing w:before="0" w:after="0"/>
    </w:pPr>
  </w:style>
  <w:style w:type="paragraph" w:customStyle="1" w:styleId="TOFTitle">
    <w:name w:val="TOFTitle"/>
    <w:basedOn w:val="TOCTitle"/>
    <w:rsid w:val="002249B9"/>
  </w:style>
  <w:style w:type="paragraph" w:styleId="TableofFigures">
    <w:name w:val="table of figures"/>
    <w:basedOn w:val="Normal"/>
    <w:next w:val="Normal"/>
    <w:semiHidden/>
    <w:rsid w:val="002249B9"/>
    <w:pPr>
      <w:tabs>
        <w:tab w:val="right" w:leader="dot" w:pos="9072"/>
      </w:tabs>
      <w:ind w:left="970" w:hanging="403"/>
    </w:pPr>
    <w:rPr>
      <w:rFonts w:ascii="Times New Roman" w:hAnsi="Times New Roman"/>
      <w:b/>
    </w:rPr>
  </w:style>
  <w:style w:type="paragraph" w:styleId="ListNumber">
    <w:name w:val="List Number"/>
    <w:basedOn w:val="List"/>
    <w:rsid w:val="002249B9"/>
    <w:pPr>
      <w:numPr>
        <w:numId w:val="15"/>
      </w:numPr>
      <w:tabs>
        <w:tab w:val="clear" w:pos="340"/>
      </w:tabs>
    </w:pPr>
  </w:style>
  <w:style w:type="character" w:customStyle="1" w:styleId="WingdingSymbols">
    <w:name w:val="Wingding Symbols"/>
    <w:rsid w:val="002249B9"/>
    <w:rPr>
      <w:rFonts w:ascii="Wingdings" w:hAnsi="Wingdings"/>
    </w:rPr>
  </w:style>
  <w:style w:type="paragraph" w:customStyle="1" w:styleId="TableHeading">
    <w:name w:val="Table Heading"/>
    <w:basedOn w:val="HeadingBase"/>
    <w:rsid w:val="002249B9"/>
    <w:pPr>
      <w:keepLines/>
      <w:pBdr>
        <w:bottom w:val="single" w:sz="6" w:space="1" w:color="918585"/>
      </w:pBdr>
      <w:spacing w:before="240"/>
    </w:pPr>
  </w:style>
  <w:style w:type="character" w:customStyle="1" w:styleId="HotSpot">
    <w:name w:val="HotSpot"/>
    <w:rsid w:val="002249B9"/>
    <w:rPr>
      <w:color w:val="0033CC"/>
      <w:u w:val="none"/>
    </w:rPr>
  </w:style>
  <w:style w:type="paragraph" w:customStyle="1" w:styleId="BodyTextRight">
    <w:name w:val="Body Text Right"/>
    <w:basedOn w:val="BodyText"/>
    <w:rsid w:val="002249B9"/>
    <w:pPr>
      <w:spacing w:before="0" w:after="0"/>
      <w:jc w:val="right"/>
    </w:pPr>
  </w:style>
  <w:style w:type="paragraph" w:styleId="Index3">
    <w:name w:val="index 3"/>
    <w:basedOn w:val="ListNumber2"/>
    <w:next w:val="Normal"/>
    <w:semiHidden/>
    <w:rsid w:val="002249B9"/>
    <w:pPr>
      <w:numPr>
        <w:numId w:val="0"/>
      </w:numPr>
      <w:tabs>
        <w:tab w:val="right" w:leader="dot" w:pos="4176"/>
      </w:tabs>
    </w:pPr>
  </w:style>
  <w:style w:type="paragraph" w:styleId="ListNumber2">
    <w:name w:val="List Number 2"/>
    <w:basedOn w:val="List2"/>
    <w:rsid w:val="002249B9"/>
    <w:pPr>
      <w:numPr>
        <w:numId w:val="10"/>
      </w:numPr>
      <w:tabs>
        <w:tab w:val="clear" w:pos="1060"/>
      </w:tabs>
    </w:pPr>
  </w:style>
  <w:style w:type="paragraph" w:customStyle="1" w:styleId="MarginNote">
    <w:name w:val="Margin Note"/>
    <w:basedOn w:val="BodyText"/>
    <w:rsid w:val="002249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49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49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49B9"/>
    <w:rPr>
      <w:sz w:val="32"/>
    </w:rPr>
  </w:style>
  <w:style w:type="paragraph" w:customStyle="1" w:styleId="HeadingProcedure">
    <w:name w:val="Heading Procedure"/>
    <w:basedOn w:val="HeadingBase"/>
    <w:next w:val="Normal"/>
    <w:rsid w:val="002249B9"/>
    <w:pPr>
      <w:tabs>
        <w:tab w:val="left" w:pos="0"/>
      </w:tabs>
      <w:spacing w:before="120" w:after="60"/>
    </w:pPr>
    <w:rPr>
      <w:i/>
      <w:color w:val="918585"/>
      <w:sz w:val="22"/>
    </w:rPr>
  </w:style>
  <w:style w:type="paragraph" w:customStyle="1" w:styleId="TableBodyText">
    <w:name w:val="Table Body Text"/>
    <w:basedOn w:val="BodyText"/>
    <w:rsid w:val="002249B9"/>
    <w:pPr>
      <w:spacing w:before="60" w:after="60"/>
    </w:pPr>
  </w:style>
  <w:style w:type="paragraph" w:styleId="ListContinue">
    <w:name w:val="List Continue"/>
    <w:basedOn w:val="List"/>
    <w:rsid w:val="002249B9"/>
    <w:pPr>
      <w:ind w:firstLine="0"/>
    </w:pPr>
  </w:style>
  <w:style w:type="paragraph" w:customStyle="1" w:styleId="ListNote">
    <w:name w:val="List Note"/>
    <w:basedOn w:val="List"/>
    <w:rsid w:val="002249B9"/>
    <w:pPr>
      <w:pBdr>
        <w:top w:val="single" w:sz="6" w:space="2" w:color="918585"/>
        <w:bottom w:val="single" w:sz="6" w:space="2" w:color="918585"/>
      </w:pBdr>
      <w:tabs>
        <w:tab w:val="left" w:pos="1021"/>
      </w:tabs>
      <w:ind w:firstLine="0"/>
    </w:pPr>
  </w:style>
  <w:style w:type="paragraph" w:customStyle="1" w:styleId="Warning">
    <w:name w:val="Warning"/>
    <w:basedOn w:val="BodyText"/>
    <w:rsid w:val="002249B9"/>
    <w:pPr>
      <w:shd w:val="clear" w:color="auto" w:fill="D9D9D9"/>
      <w:tabs>
        <w:tab w:val="left" w:pos="992"/>
      </w:tabs>
      <w:ind w:left="119" w:right="119"/>
    </w:pPr>
    <w:rPr>
      <w:sz w:val="20"/>
    </w:rPr>
  </w:style>
  <w:style w:type="paragraph" w:customStyle="1" w:styleId="MarginIcons">
    <w:name w:val="Margin Icons"/>
    <w:basedOn w:val="BodyText"/>
    <w:rsid w:val="002249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49B9"/>
    <w:rPr>
      <w:rFonts w:ascii="Courier New" w:hAnsi="Courier New"/>
    </w:rPr>
  </w:style>
  <w:style w:type="paragraph" w:customStyle="1" w:styleId="NoteBullet">
    <w:name w:val="Note Bullet"/>
    <w:basedOn w:val="Note"/>
    <w:rsid w:val="002249B9"/>
    <w:pPr>
      <w:tabs>
        <w:tab w:val="clear" w:pos="680"/>
      </w:tabs>
      <w:spacing w:before="60" w:after="60"/>
    </w:pPr>
  </w:style>
  <w:style w:type="paragraph" w:customStyle="1" w:styleId="SubHeading2">
    <w:name w:val="SubHeading2"/>
    <w:basedOn w:val="HeadingBase"/>
    <w:rsid w:val="002249B9"/>
    <w:pPr>
      <w:spacing w:before="240" w:after="60"/>
    </w:pPr>
    <w:rPr>
      <w:sz w:val="20"/>
    </w:rPr>
  </w:style>
  <w:style w:type="paragraph" w:customStyle="1" w:styleId="SubHeading1">
    <w:name w:val="SubHeading1"/>
    <w:basedOn w:val="HeadingBase"/>
    <w:rsid w:val="002249B9"/>
    <w:pPr>
      <w:spacing w:before="240" w:after="60"/>
    </w:pPr>
    <w:rPr>
      <w:color w:val="918585"/>
      <w:sz w:val="22"/>
    </w:rPr>
  </w:style>
  <w:style w:type="paragraph" w:customStyle="1" w:styleId="SideHeading">
    <w:name w:val="Side Heading"/>
    <w:basedOn w:val="HeadingBase"/>
    <w:rsid w:val="002249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49B9"/>
    <w:pPr>
      <w:tabs>
        <w:tab w:val="num" w:pos="360"/>
      </w:tabs>
    </w:pPr>
  </w:style>
  <w:style w:type="paragraph" w:styleId="PlainText">
    <w:name w:val="Plain Text"/>
    <w:basedOn w:val="Normal"/>
    <w:link w:val="PlainTextChar"/>
    <w:rsid w:val="002249B9"/>
    <w:rPr>
      <w:sz w:val="20"/>
    </w:rPr>
  </w:style>
  <w:style w:type="character" w:customStyle="1" w:styleId="PlainTextChar">
    <w:name w:val="Plain Text Char"/>
    <w:basedOn w:val="DefaultParagraphFont"/>
    <w:link w:val="PlainText"/>
    <w:rsid w:val="002249B9"/>
    <w:rPr>
      <w:rFonts w:ascii="Courier New" w:eastAsia="Times New Roman" w:hAnsi="Courier New" w:cs="Times New Roman"/>
      <w:sz w:val="20"/>
      <w:szCs w:val="20"/>
      <w:lang w:eastAsia="en-US"/>
    </w:rPr>
  </w:style>
  <w:style w:type="character" w:customStyle="1" w:styleId="MenuOption">
    <w:name w:val="Menu Option"/>
    <w:basedOn w:val="DefaultParagraphFont"/>
    <w:rsid w:val="002249B9"/>
    <w:rPr>
      <w:b/>
      <w:smallCaps/>
    </w:rPr>
  </w:style>
  <w:style w:type="paragraph" w:customStyle="1" w:styleId="TableListNumber">
    <w:name w:val="Table List Number"/>
    <w:basedOn w:val="ListNumber"/>
    <w:rsid w:val="002249B9"/>
    <w:pPr>
      <w:numPr>
        <w:numId w:val="0"/>
      </w:numPr>
    </w:pPr>
  </w:style>
  <w:style w:type="paragraph" w:styleId="TOC4">
    <w:name w:val="toc 4"/>
    <w:basedOn w:val="TOCBase"/>
    <w:next w:val="Normal"/>
    <w:semiHidden/>
    <w:rsid w:val="002249B9"/>
    <w:pPr>
      <w:tabs>
        <w:tab w:val="right" w:leader="dot" w:pos="9071"/>
      </w:tabs>
      <w:ind w:left="1701"/>
    </w:pPr>
  </w:style>
  <w:style w:type="paragraph" w:customStyle="1" w:styleId="ListAlpha">
    <w:name w:val="List Alpha"/>
    <w:basedOn w:val="List"/>
    <w:rsid w:val="002249B9"/>
    <w:pPr>
      <w:numPr>
        <w:numId w:val="9"/>
      </w:numPr>
    </w:pPr>
  </w:style>
  <w:style w:type="paragraph" w:customStyle="1" w:styleId="ListAlpha2">
    <w:name w:val="List Alpha 2"/>
    <w:basedOn w:val="List2"/>
    <w:rsid w:val="002249B9"/>
    <w:pPr>
      <w:numPr>
        <w:numId w:val="8"/>
      </w:numPr>
    </w:pPr>
  </w:style>
  <w:style w:type="paragraph" w:styleId="List2">
    <w:name w:val="List 2"/>
    <w:basedOn w:val="BodyText"/>
    <w:rsid w:val="002249B9"/>
    <w:pPr>
      <w:tabs>
        <w:tab w:val="left" w:pos="680"/>
      </w:tabs>
      <w:spacing w:before="60" w:after="60"/>
      <w:ind w:left="680" w:hanging="340"/>
    </w:pPr>
  </w:style>
  <w:style w:type="paragraph" w:styleId="List3">
    <w:name w:val="List 3"/>
    <w:basedOn w:val="BodyText"/>
    <w:rsid w:val="002249B9"/>
    <w:pPr>
      <w:tabs>
        <w:tab w:val="left" w:pos="1021"/>
      </w:tabs>
      <w:spacing w:before="60" w:after="60"/>
      <w:ind w:left="1020" w:hanging="340"/>
    </w:pPr>
  </w:style>
  <w:style w:type="paragraph" w:styleId="List4">
    <w:name w:val="List 4"/>
    <w:basedOn w:val="BodyText"/>
    <w:rsid w:val="002249B9"/>
    <w:pPr>
      <w:tabs>
        <w:tab w:val="left" w:pos="1361"/>
      </w:tabs>
      <w:spacing w:before="60" w:after="60"/>
      <w:ind w:left="1361" w:hanging="340"/>
    </w:pPr>
  </w:style>
  <w:style w:type="paragraph" w:styleId="List5">
    <w:name w:val="List 5"/>
    <w:basedOn w:val="BodyText"/>
    <w:rsid w:val="002249B9"/>
    <w:pPr>
      <w:tabs>
        <w:tab w:val="left" w:pos="1701"/>
      </w:tabs>
      <w:spacing w:before="60" w:after="60"/>
      <w:ind w:left="1701" w:hanging="340"/>
    </w:pPr>
  </w:style>
  <w:style w:type="paragraph" w:styleId="ListBullet3">
    <w:name w:val="List Bullet 3"/>
    <w:basedOn w:val="List3"/>
    <w:rsid w:val="002249B9"/>
    <w:pPr>
      <w:numPr>
        <w:numId w:val="14"/>
      </w:numPr>
      <w:tabs>
        <w:tab w:val="clear" w:pos="1021"/>
      </w:tabs>
      <w:ind w:left="1037" w:hanging="357"/>
    </w:pPr>
  </w:style>
  <w:style w:type="paragraph" w:styleId="ListBullet4">
    <w:name w:val="List Bullet 4"/>
    <w:basedOn w:val="List4"/>
    <w:rsid w:val="002249B9"/>
    <w:pPr>
      <w:numPr>
        <w:numId w:val="3"/>
      </w:numPr>
      <w:tabs>
        <w:tab w:val="clear" w:pos="1361"/>
      </w:tabs>
    </w:pPr>
  </w:style>
  <w:style w:type="paragraph" w:styleId="ListBullet5">
    <w:name w:val="List Bullet 5"/>
    <w:basedOn w:val="List5"/>
    <w:rsid w:val="002249B9"/>
    <w:pPr>
      <w:numPr>
        <w:numId w:val="4"/>
      </w:numPr>
    </w:pPr>
  </w:style>
  <w:style w:type="paragraph" w:styleId="ListContinue2">
    <w:name w:val="List Continue 2"/>
    <w:basedOn w:val="List2"/>
    <w:rsid w:val="002249B9"/>
    <w:pPr>
      <w:ind w:firstLine="0"/>
    </w:pPr>
  </w:style>
  <w:style w:type="paragraph" w:styleId="ListContinue3">
    <w:name w:val="List Continue 3"/>
    <w:basedOn w:val="List3"/>
    <w:rsid w:val="002249B9"/>
    <w:pPr>
      <w:ind w:left="1021" w:firstLine="0"/>
    </w:pPr>
  </w:style>
  <w:style w:type="paragraph" w:styleId="ListContinue4">
    <w:name w:val="List Continue 4"/>
    <w:basedOn w:val="List4"/>
    <w:rsid w:val="002249B9"/>
    <w:pPr>
      <w:ind w:firstLine="0"/>
    </w:pPr>
  </w:style>
  <w:style w:type="paragraph" w:styleId="ListContinue5">
    <w:name w:val="List Continue 5"/>
    <w:basedOn w:val="List5"/>
    <w:rsid w:val="002249B9"/>
    <w:pPr>
      <w:ind w:firstLine="0"/>
    </w:pPr>
  </w:style>
  <w:style w:type="paragraph" w:styleId="ListNumber3">
    <w:name w:val="List Number 3"/>
    <w:basedOn w:val="List3"/>
    <w:rsid w:val="002249B9"/>
    <w:pPr>
      <w:numPr>
        <w:numId w:val="5"/>
      </w:numPr>
    </w:pPr>
  </w:style>
  <w:style w:type="paragraph" w:styleId="ListNumber4">
    <w:name w:val="List Number 4"/>
    <w:basedOn w:val="List4"/>
    <w:rsid w:val="002249B9"/>
    <w:pPr>
      <w:numPr>
        <w:numId w:val="6"/>
      </w:numPr>
    </w:pPr>
  </w:style>
  <w:style w:type="paragraph" w:styleId="ListNumber5">
    <w:name w:val="List Number 5"/>
    <w:basedOn w:val="List5"/>
    <w:rsid w:val="002249B9"/>
    <w:pPr>
      <w:numPr>
        <w:numId w:val="7"/>
      </w:numPr>
    </w:pPr>
  </w:style>
  <w:style w:type="paragraph" w:styleId="BlockText">
    <w:name w:val="Block Text"/>
    <w:basedOn w:val="Normal"/>
    <w:rsid w:val="002249B9"/>
    <w:pPr>
      <w:spacing w:after="120"/>
      <w:ind w:left="1440" w:right="1440"/>
    </w:pPr>
  </w:style>
  <w:style w:type="character" w:customStyle="1" w:styleId="Subscript">
    <w:name w:val="Subscript"/>
    <w:basedOn w:val="DefaultParagraphFont"/>
    <w:rsid w:val="002249B9"/>
    <w:rPr>
      <w:sz w:val="16"/>
      <w:vertAlign w:val="subscript"/>
    </w:rPr>
  </w:style>
  <w:style w:type="character" w:customStyle="1" w:styleId="Superscript">
    <w:name w:val="Superscript"/>
    <w:basedOn w:val="DefaultParagraphFont"/>
    <w:rsid w:val="002249B9"/>
    <w:rPr>
      <w:sz w:val="16"/>
      <w:vertAlign w:val="superscript"/>
    </w:rPr>
  </w:style>
  <w:style w:type="character" w:customStyle="1" w:styleId="Symbols">
    <w:name w:val="Symbols"/>
    <w:basedOn w:val="DefaultParagraphFont"/>
    <w:rsid w:val="002249B9"/>
    <w:rPr>
      <w:rFonts w:ascii="Symbol" w:hAnsi="Symbol"/>
    </w:rPr>
  </w:style>
  <w:style w:type="character" w:customStyle="1" w:styleId="MenuOptions">
    <w:name w:val="Menu Options"/>
    <w:basedOn w:val="DefaultParagraphFont"/>
    <w:rsid w:val="002249B9"/>
    <w:rPr>
      <w:rFonts w:ascii="Arial Narrow" w:hAnsi="Arial Narrow"/>
      <w:smallCaps/>
    </w:rPr>
  </w:style>
  <w:style w:type="character" w:customStyle="1" w:styleId="Buttons">
    <w:name w:val="Buttons"/>
    <w:basedOn w:val="DefaultParagraphFont"/>
    <w:rsid w:val="002249B9"/>
    <w:rPr>
      <w:b/>
    </w:rPr>
  </w:style>
  <w:style w:type="character" w:customStyle="1" w:styleId="Underlined">
    <w:name w:val="Underlined"/>
    <w:basedOn w:val="DefaultParagraphFont"/>
    <w:rsid w:val="002249B9"/>
    <w:rPr>
      <w:u w:val="single"/>
    </w:rPr>
  </w:style>
  <w:style w:type="paragraph" w:customStyle="1" w:styleId="TableBodyTextRight">
    <w:name w:val="Table Body Text Right"/>
    <w:basedOn w:val="TableBodyText"/>
    <w:rsid w:val="002249B9"/>
    <w:pPr>
      <w:widowControl w:val="0"/>
      <w:autoSpaceDE w:val="0"/>
      <w:autoSpaceDN w:val="0"/>
      <w:adjustRightInd w:val="0"/>
      <w:jc w:val="right"/>
    </w:pPr>
    <w:rPr>
      <w:rFonts w:cs="Arial"/>
      <w:szCs w:val="18"/>
    </w:rPr>
  </w:style>
  <w:style w:type="paragraph" w:customStyle="1" w:styleId="CopyrightText">
    <w:name w:val="Copyright Text"/>
    <w:basedOn w:val="BodyText"/>
    <w:rsid w:val="002249B9"/>
    <w:rPr>
      <w:sz w:val="18"/>
    </w:rPr>
  </w:style>
  <w:style w:type="paragraph" w:customStyle="1" w:styleId="BodySmallRight">
    <w:name w:val="Body Small Right"/>
    <w:basedOn w:val="BodyTextRight"/>
    <w:rsid w:val="002249B9"/>
    <w:rPr>
      <w:sz w:val="18"/>
      <w:szCs w:val="18"/>
    </w:rPr>
  </w:style>
  <w:style w:type="paragraph" w:customStyle="1" w:styleId="MarginEdition">
    <w:name w:val="Margin Edition"/>
    <w:basedOn w:val="MarginNote"/>
    <w:rsid w:val="002249B9"/>
    <w:pPr>
      <w:spacing w:before="0" w:after="0"/>
    </w:pPr>
    <w:rPr>
      <w:rFonts w:ascii="Times New Roman" w:hAnsi="Times New Roman"/>
      <w:color w:val="999999"/>
    </w:rPr>
  </w:style>
  <w:style w:type="paragraph" w:customStyle="1" w:styleId="Spacer">
    <w:name w:val="Spacer"/>
    <w:basedOn w:val="Normal"/>
    <w:rsid w:val="002249B9"/>
    <w:rPr>
      <w:sz w:val="2"/>
      <w:szCs w:val="2"/>
    </w:rPr>
  </w:style>
  <w:style w:type="character" w:customStyle="1" w:styleId="Small">
    <w:name w:val="Small"/>
    <w:basedOn w:val="DefaultParagraphFont"/>
    <w:rsid w:val="002249B9"/>
    <w:rPr>
      <w:sz w:val="16"/>
    </w:rPr>
  </w:style>
  <w:style w:type="paragraph" w:customStyle="1" w:styleId="WideTable">
    <w:name w:val="Wide Table"/>
    <w:basedOn w:val="Normal"/>
    <w:rsid w:val="002249B9"/>
    <w:pPr>
      <w:ind w:left="-1418"/>
    </w:pPr>
    <w:rPr>
      <w:sz w:val="2"/>
      <w:szCs w:val="2"/>
    </w:rPr>
  </w:style>
  <w:style w:type="character" w:styleId="PageNumber">
    <w:name w:val="page number"/>
    <w:basedOn w:val="DefaultParagraphFont"/>
    <w:rsid w:val="002249B9"/>
  </w:style>
  <w:style w:type="paragraph" w:styleId="Quote">
    <w:name w:val="Quote"/>
    <w:basedOn w:val="Heading1"/>
    <w:link w:val="QuoteChar"/>
    <w:qFormat/>
    <w:rsid w:val="002249B9"/>
    <w:rPr>
      <w:b w:val="0"/>
      <w:sz w:val="72"/>
      <w:szCs w:val="72"/>
      <w:lang w:val="en-NZ"/>
    </w:rPr>
  </w:style>
  <w:style w:type="character" w:customStyle="1" w:styleId="QuoteChar">
    <w:name w:val="Quote Char"/>
    <w:basedOn w:val="DefaultParagraphFont"/>
    <w:link w:val="Quote"/>
    <w:rsid w:val="002249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49B9"/>
    <w:pPr>
      <w:pageBreakBefore/>
    </w:pPr>
  </w:style>
  <w:style w:type="paragraph" w:customStyle="1" w:styleId="Border">
    <w:name w:val="Border"/>
    <w:basedOn w:val="Normal"/>
    <w:qFormat/>
    <w:rsid w:val="002249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49B9"/>
    <w:rPr>
      <w:b/>
      <w:bCs/>
      <w:i/>
      <w:iCs/>
      <w:color w:val="auto"/>
    </w:rPr>
  </w:style>
  <w:style w:type="paragraph" w:styleId="IntenseQuote">
    <w:name w:val="Intense Quote"/>
    <w:basedOn w:val="Normal"/>
    <w:next w:val="Normal"/>
    <w:link w:val="IntenseQuoteChar"/>
    <w:uiPriority w:val="30"/>
    <w:qFormat/>
    <w:rsid w:val="002249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49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49B9"/>
    <w:rPr>
      <w:smallCaps/>
      <w:color w:val="auto"/>
      <w:u w:val="single"/>
    </w:rPr>
  </w:style>
  <w:style w:type="character" w:styleId="IntenseReference">
    <w:name w:val="Intense Reference"/>
    <w:basedOn w:val="DefaultParagraphFont"/>
    <w:uiPriority w:val="32"/>
    <w:qFormat/>
    <w:rsid w:val="002249B9"/>
    <w:rPr>
      <w:b/>
      <w:bCs/>
      <w:smallCaps/>
      <w:color w:val="auto"/>
      <w:spacing w:val="5"/>
      <w:u w:val="single"/>
    </w:rPr>
  </w:style>
  <w:style w:type="paragraph" w:customStyle="1" w:styleId="2ColumnHeading">
    <w:name w:val="2Column Heading"/>
    <w:basedOn w:val="BodyText"/>
    <w:qFormat/>
    <w:rsid w:val="002249B9"/>
    <w:pPr>
      <w:spacing w:after="60"/>
      <w:ind w:left="-2268"/>
    </w:pPr>
    <w:rPr>
      <w:b/>
    </w:rPr>
  </w:style>
  <w:style w:type="paragraph" w:customStyle="1" w:styleId="Heading1TOC">
    <w:name w:val="Heading1 TOC"/>
    <w:basedOn w:val="Normal"/>
    <w:qFormat/>
    <w:rsid w:val="002249B9"/>
    <w:pPr>
      <w:spacing w:before="240" w:after="120"/>
    </w:pPr>
    <w:rPr>
      <w:rFonts w:ascii="Times New Roman" w:hAnsi="Times New Roman"/>
      <w:b/>
      <w:sz w:val="32"/>
    </w:rPr>
  </w:style>
  <w:style w:type="paragraph" w:customStyle="1" w:styleId="Heading2TOC">
    <w:name w:val="Heading2 TOC"/>
    <w:basedOn w:val="Normal"/>
    <w:qFormat/>
    <w:rsid w:val="002249B9"/>
    <w:pPr>
      <w:spacing w:before="240" w:after="60"/>
    </w:pPr>
    <w:rPr>
      <w:rFonts w:ascii="Times New Roman" w:hAnsi="Times New Roman"/>
      <w:b/>
      <w:sz w:val="28"/>
    </w:rPr>
  </w:style>
  <w:style w:type="character" w:customStyle="1" w:styleId="Underline">
    <w:name w:val="Underline"/>
    <w:basedOn w:val="DefaultParagraphFont"/>
    <w:qFormat/>
    <w:rsid w:val="002249B9"/>
    <w:rPr>
      <w:u w:val="single"/>
    </w:rPr>
  </w:style>
  <w:style w:type="character" w:customStyle="1" w:styleId="BoldandItalics">
    <w:name w:val="Bold and Italics"/>
    <w:qFormat/>
    <w:rsid w:val="002249B9"/>
    <w:rPr>
      <w:b/>
      <w:i/>
      <w:u w:val="none"/>
    </w:rPr>
  </w:style>
  <w:style w:type="paragraph" w:styleId="BalloonText">
    <w:name w:val="Balloon Text"/>
    <w:basedOn w:val="Normal"/>
    <w:link w:val="BalloonTextChar"/>
    <w:rsid w:val="002249B9"/>
    <w:rPr>
      <w:rFonts w:ascii="Tahoma" w:hAnsi="Tahoma" w:cs="Tahoma"/>
      <w:sz w:val="16"/>
      <w:szCs w:val="16"/>
    </w:rPr>
  </w:style>
  <w:style w:type="character" w:customStyle="1" w:styleId="BalloonTextChar">
    <w:name w:val="Balloon Text Char"/>
    <w:basedOn w:val="DefaultParagraphFont"/>
    <w:link w:val="BalloonText"/>
    <w:rsid w:val="002249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49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49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49B9"/>
    <w:rPr>
      <w:b/>
      <w:color w:val="660033"/>
      <w:spacing w:val="0"/>
    </w:rPr>
  </w:style>
  <w:style w:type="paragraph" w:customStyle="1" w:styleId="Nameditemlist">
    <w:name w:val="Named item list"/>
    <w:basedOn w:val="BodyText"/>
    <w:qFormat/>
    <w:rsid w:val="002249B9"/>
    <w:pPr>
      <w:tabs>
        <w:tab w:val="left" w:pos="2835"/>
      </w:tabs>
      <w:ind w:left="2835" w:hanging="2835"/>
    </w:pPr>
  </w:style>
  <w:style w:type="paragraph" w:customStyle="1" w:styleId="BodyTextnopadding">
    <w:name w:val="Body Text no padding"/>
    <w:basedOn w:val="BodyText"/>
    <w:qFormat/>
    <w:rsid w:val="002249B9"/>
    <w:pPr>
      <w:spacing w:before="0" w:after="0"/>
    </w:pPr>
  </w:style>
  <w:style w:type="paragraph" w:customStyle="1" w:styleId="BodyTextBold">
    <w:name w:val="Body Text Bold"/>
    <w:basedOn w:val="BodyText"/>
    <w:qFormat/>
    <w:rsid w:val="002249B9"/>
    <w:rPr>
      <w:b/>
    </w:rPr>
  </w:style>
  <w:style w:type="character" w:styleId="Hyperlink">
    <w:name w:val="Hyperlink"/>
    <w:basedOn w:val="DefaultParagraphFont"/>
    <w:uiPriority w:val="99"/>
    <w:unhideWhenUsed/>
    <w:rsid w:val="00B849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1101</Words>
  <Characters>7219</Characters>
  <Application>Microsoft Office Word</Application>
  <DocSecurity>0</DocSecurity>
  <Lines>300</Lines>
  <Paragraphs>189</Paragraphs>
  <ScaleCrop>false</ScaleCrop>
  <Company>Author-it Software Corporation Ltd.</Company>
  <LinksUpToDate>false</LinksUpToDate>
  <CharactersWithSpaces>8131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MSTTN2004 Undertake web bonding processes</dc:title>
  <dc:subject>Approved</dc:subject>
  <dc:creator>Skills Insight</dc:creator>
  <cp:keywords>Release: 1</cp:keywords>
  <dc:description>Review Date: 12 April 2008</dc:description>
  <cp:lastModifiedBy>HSD_TPCMSd.prod</cp:lastModifiedBy>
  <cp:revision>3</cp:revision>
  <dcterms:created xsi:type="dcterms:W3CDTF">2025-03-02T00:44:00Z</dcterms:created>
  <dcterms:modified xsi:type="dcterms:W3CDTF">2025-03-02T00:44:00Z</dcterms:modified>
</cp:coreProperties>
</file>