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15D" w:rsidP="00C051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MSTTF2020 Use adhesives</w:t>
      </w:r>
      <w:r>
        <w:fldChar w:fldCharType="end"/>
      </w:r>
    </w:p>
    <w:p w:rsidR="00C0515D" w:rsidP="00C0515D">
      <w:pPr>
        <w:pStyle w:val="Version"/>
        <w:sectPr w:rsidSect="00224C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4C97" w:rsidP="00224C97">
      <w:pPr>
        <w:pStyle w:val="SuperHeading"/>
      </w:pPr>
      <w:r w:rsidRPr="00224C97">
        <w:t>MSTTF2020 Use adhesives</w:t>
      </w:r>
    </w:p>
    <w:p w:rsidR="00000000" w:rsidRPr="00224C97" w:rsidP="00224C97">
      <w:pPr>
        <w:pStyle w:val="Heading1"/>
      </w:pPr>
      <w:bookmarkStart w:id="1" w:name="O_1222087"/>
      <w:bookmarkEnd w:id="1"/>
      <w:r w:rsidRPr="00224C97">
        <w:t>Modification History</w:t>
      </w:r>
    </w:p>
    <w:p w:rsidR="00000000" w:rsidRPr="00224C97" w:rsidP="00C0515D">
      <w:pPr>
        <w:pStyle w:val="BodyText"/>
      </w:pPr>
      <w:r w:rsidRPr="00224C97">
        <w:t>Release 1. Unit code and Application changed. Elements and Performance Criteria restructured and simplified. Foundation Skills field populated. Range of Conditions removed with relevant information moved to Knowledge Evidence. Assessme</w:t>
      </w:r>
      <w:r w:rsidRPr="00224C97">
        <w:t>nt Requirements clarified with generic foundation skills statements moved to appropriate section and duplication with Performance Criteria removed. Supersedes and is equivalent to MSTTF2008 Use adhesives.</w:t>
      </w:r>
    </w:p>
    <w:p w:rsidR="00000000" w:rsidRPr="00224C97" w:rsidP="00224C97">
      <w:pPr>
        <w:pStyle w:val="Heading1"/>
      </w:pPr>
      <w:bookmarkStart w:id="2" w:name="O_1222088"/>
      <w:bookmarkEnd w:id="2"/>
      <w:r w:rsidRPr="00224C97">
        <w:t>Application</w:t>
      </w:r>
    </w:p>
    <w:p w:rsidR="00000000" w:rsidRPr="00224C97" w:rsidP="00C0515D">
      <w:pPr>
        <w:pStyle w:val="BodyText"/>
      </w:pPr>
      <w:r w:rsidRPr="00224C97">
        <w:t xml:space="preserve">This unit describes </w:t>
      </w:r>
      <w:r w:rsidRPr="00224C97">
        <w:t>the skills and knowledge required to safely prepare and use adhesives to join textile products.</w:t>
      </w:r>
    </w:p>
    <w:p w:rsidR="00000000" w:rsidRPr="00224C97" w:rsidP="00C0515D">
      <w:pPr>
        <w:pStyle w:val="BodyText"/>
      </w:pPr>
      <w:r w:rsidRPr="00224C97">
        <w:t>This unit applies to individuals working in accordance with pre-determined specifications and established procedures.</w:t>
      </w:r>
    </w:p>
    <w:p w:rsidR="00000000" w:rsidRPr="00224C97" w:rsidP="00C0515D">
      <w:pPr>
        <w:pStyle w:val="BodyText"/>
      </w:pPr>
      <w:r w:rsidRPr="00224C97">
        <w:t>No licensing or certification requirements</w:t>
      </w:r>
      <w:r w:rsidRPr="00224C97">
        <w:t xml:space="preserve"> exist at the time of publication. Relevant legislation, industry standards and codes of practice within Australia must be applied.</w:t>
      </w:r>
    </w:p>
    <w:p w:rsidR="00000000" w:rsidRPr="00224C97" w:rsidP="00224C97">
      <w:pPr>
        <w:pStyle w:val="Heading1"/>
      </w:pPr>
      <w:bookmarkStart w:id="3" w:name="O_1222090"/>
      <w:bookmarkEnd w:id="3"/>
      <w:r w:rsidRPr="00224C97">
        <w:t>Competency Field</w:t>
      </w:r>
    </w:p>
    <w:p w:rsidR="00000000" w:rsidRPr="00224C97" w:rsidP="00C0515D">
      <w:pPr>
        <w:pStyle w:val="BodyText"/>
      </w:pPr>
      <w:r w:rsidRPr="00224C97">
        <w:t>Textile fabrication</w:t>
      </w:r>
    </w:p>
    <w:p w:rsidR="00000000" w:rsidRPr="00224C97" w:rsidP="00224C97">
      <w:pPr>
        <w:pStyle w:val="Heading1"/>
      </w:pPr>
      <w:bookmarkStart w:id="4" w:name="O_1222092"/>
      <w:bookmarkEnd w:id="4"/>
      <w:r w:rsidRPr="00224C9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C051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 w:rsidP="00224C97">
            <w:pPr>
              <w:pStyle w:val="BodyText"/>
            </w:pPr>
            <w:r w:rsidRPr="00224C97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rPr>
                <w:rStyle w:val="SpecialBold"/>
              </w:rPr>
              <w:t>Perfo</w:t>
            </w:r>
            <w:r w:rsidRPr="00224C97">
              <w:rPr>
                <w:rStyle w:val="SpecialBold"/>
              </w:rPr>
              <w:t>rmance Criteria</w:t>
            </w:r>
          </w:p>
        </w:tc>
      </w:tr>
      <w:tr w:rsidTr="00C051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t>Performance criteria describe the performance needed to demonstrate achievement of the element.</w:t>
            </w:r>
          </w:p>
        </w:tc>
      </w:tr>
      <w:tr w:rsidTr="00C051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 w:rsidP="00224C97">
            <w:pPr>
              <w:pStyle w:val="BodyText"/>
            </w:pPr>
            <w:r w:rsidRPr="00224C97">
              <w:t>1. Determine joining requirements</w:t>
            </w:r>
          </w:p>
          <w:p w:rsidR="00000000" w:rsidRPr="00224C97" w:rsidP="00224C97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 w:rsidP="00224C97">
            <w:pPr>
              <w:pStyle w:val="BodyText"/>
            </w:pPr>
            <w:r w:rsidRPr="00224C97">
              <w:t>1.1 Identity materials to be joined and specific adhesives required from work specifications</w:t>
            </w:r>
          </w:p>
          <w:p w:rsidR="00000000" w:rsidRPr="00224C97" w:rsidP="00224C97">
            <w:pPr>
              <w:pStyle w:val="BodyText"/>
            </w:pPr>
            <w:r w:rsidRPr="00224C97">
              <w:t>1.2 Identify and comply with work health and safety requirements for adhesive use</w:t>
            </w:r>
          </w:p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t>1.3 Select tools, equipment and materials for work based on joining requirements</w:t>
            </w:r>
          </w:p>
        </w:tc>
      </w:tr>
      <w:tr w:rsidTr="00C051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0515D" w:rsidP="00224C97">
            <w:pPr>
              <w:pStyle w:val="BodyText"/>
            </w:pPr>
            <w:r w:rsidRPr="00224C97">
              <w:t>2. Prepare adhesives</w:t>
            </w:r>
          </w:p>
          <w:p w:rsidR="00C0515D" w:rsidP="00224C97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 w:rsidP="00224C97">
            <w:pPr>
              <w:pStyle w:val="BodyText"/>
            </w:pPr>
            <w:r w:rsidRPr="00224C97">
              <w:t>2.1 Select appropriate tools and materials to prepare work piece surfaces and application of adhesive</w:t>
            </w:r>
          </w:p>
          <w:p w:rsidR="00000000" w:rsidRPr="00224C97" w:rsidP="00224C97">
            <w:pPr>
              <w:pStyle w:val="BodyText"/>
            </w:pPr>
            <w:r w:rsidRPr="00224C97">
              <w:t>2.2 Check adhesive manufacturer safety requirements and take prescribed precautions before using adhesives</w:t>
            </w:r>
          </w:p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t>2.3 Prepare adhesive i</w:t>
            </w:r>
            <w:r w:rsidRPr="00224C97">
              <w:t>n accordance with manufacturer instructions</w:t>
            </w:r>
          </w:p>
        </w:tc>
      </w:tr>
      <w:tr w:rsidTr="00C051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0515D" w:rsidP="00224C97">
            <w:pPr>
              <w:pStyle w:val="BodyText"/>
            </w:pPr>
            <w:r w:rsidRPr="00224C97">
              <w:t>3. Apply adhesive and bond materials</w:t>
            </w:r>
          </w:p>
          <w:p w:rsidR="00C0515D" w:rsidP="00224C97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 w:rsidP="00224C97">
            <w:pPr>
              <w:pStyle w:val="BodyText"/>
            </w:pPr>
            <w:r w:rsidRPr="00224C97">
              <w:t>3.1 Prepare work piece surfaces for application of adhesive as recommended by adhesive manufacturer</w:t>
            </w:r>
          </w:p>
          <w:p w:rsidR="00000000" w:rsidRPr="00224C97" w:rsidP="00224C97">
            <w:pPr>
              <w:pStyle w:val="BodyText"/>
            </w:pPr>
            <w:r w:rsidRPr="00224C97">
              <w:t xml:space="preserve">3.2 Anchor or otherwise stabilise work piece surfaces to be bonded </w:t>
            </w:r>
          </w:p>
          <w:p w:rsidR="00000000" w:rsidRPr="00224C97" w:rsidP="00224C97">
            <w:pPr>
              <w:pStyle w:val="BodyText"/>
            </w:pPr>
            <w:r w:rsidRPr="00224C97">
              <w:t xml:space="preserve">3.3 Apply adhesive and join surfaces in accordance with manufacturer instructions </w:t>
            </w:r>
          </w:p>
          <w:p w:rsidR="00000000" w:rsidRPr="00224C97" w:rsidP="00224C97">
            <w:pPr>
              <w:pStyle w:val="BodyText"/>
            </w:pPr>
            <w:r w:rsidRPr="00224C97">
              <w:t>3.4 Allow joins to cure for specified time</w:t>
            </w:r>
          </w:p>
          <w:p w:rsidR="00000000" w:rsidRPr="00224C97" w:rsidP="00224C97">
            <w:pPr>
              <w:pStyle w:val="BodyText"/>
            </w:pPr>
            <w:r w:rsidRPr="00224C97">
              <w:t>3.5 Apply required heat to the work piece to assist in curing joins in accordance with work health and safety requirements</w:t>
            </w:r>
          </w:p>
          <w:p w:rsidR="00000000" w:rsidRPr="00224C97" w:rsidP="00224C97">
            <w:pPr>
              <w:pStyle w:val="BodyText"/>
            </w:pPr>
            <w:r w:rsidRPr="00224C97">
              <w:t>3.6 Rem</w:t>
            </w:r>
            <w:r w:rsidRPr="00224C97">
              <w:t xml:space="preserve">ove work piece and inspect and test joins for strength </w:t>
            </w:r>
          </w:p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t>3.7 Identify and rectify any deficiencies to achieve required quality standards</w:t>
            </w:r>
          </w:p>
        </w:tc>
      </w:tr>
      <w:tr w:rsidTr="00C051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97">
            <w:pPr>
              <w:pStyle w:val="BodyText"/>
              <w:rPr>
                <w:lang w:val="en-NZ"/>
              </w:rPr>
            </w:pPr>
            <w:r w:rsidRPr="00224C97">
              <w:t>4. Document and complete operations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97" w:rsidP="00224C97">
            <w:pPr>
              <w:pStyle w:val="BodyText"/>
            </w:pPr>
            <w:r w:rsidRPr="00224C97">
              <w:t>4.1 Dispose of or store remaining adhesive in a safe, secure location based on prod</w:t>
            </w:r>
            <w:r w:rsidRPr="00224C97">
              <w:t>uct requirements</w:t>
            </w:r>
          </w:p>
          <w:p w:rsidR="00000000" w:rsidRPr="00224C97" w:rsidP="00224C97">
            <w:pPr>
              <w:pStyle w:val="BodyText"/>
            </w:pPr>
            <w:r w:rsidRPr="00224C97">
              <w:t>4.2 Clean and store tools and equipment securely and in accordance with workplace procedures</w:t>
            </w:r>
          </w:p>
          <w:p w:rsidR="00000000" w:rsidRPr="00224C97" w:rsidP="00224C97">
            <w:pPr>
              <w:pStyle w:val="BodyText"/>
            </w:pPr>
            <w:r w:rsidRPr="00224C97">
              <w:t>4.3 Clean and maintain work area to ensure safe and efficient operations</w:t>
            </w:r>
          </w:p>
          <w:p w:rsidR="00000000" w:rsidRPr="00224C97" w:rsidP="00224C97">
            <w:pPr>
              <w:pStyle w:val="BodyText"/>
            </w:pPr>
            <w:r w:rsidRPr="00224C97">
              <w:t>4.4 Complete documentation in accordance with workplace procedures</w:t>
            </w:r>
          </w:p>
        </w:tc>
      </w:tr>
    </w:tbl>
    <w:p w:rsidR="00000000" w:rsidRPr="00224C97" w:rsidP="00224C97">
      <w:pPr>
        <w:pStyle w:val="BodyText"/>
      </w:pPr>
    </w:p>
    <w:p w:rsidR="00000000" w:rsidRPr="00224C97" w:rsidP="00224C97">
      <w:pPr>
        <w:pStyle w:val="AllowPageBreak"/>
      </w:pPr>
    </w:p>
    <w:p w:rsidR="00000000" w:rsidRPr="00224C97" w:rsidP="00224C97">
      <w:pPr>
        <w:pStyle w:val="Heading1"/>
      </w:pPr>
      <w:bookmarkStart w:id="5" w:name="O_1222093"/>
      <w:bookmarkEnd w:id="5"/>
      <w:r w:rsidRPr="00224C97">
        <w:t>Foundation Skills</w:t>
      </w:r>
    </w:p>
    <w:p w:rsidR="00000000" w:rsidRPr="00224C97" w:rsidP="00C0515D">
      <w:pPr>
        <w:pStyle w:val="BodyText"/>
      </w:pPr>
      <w:r w:rsidRPr="00224C97">
        <w:t>This section describes those language, literacy, numeracy and employment skills that are essential to performance but not explicit in the performance criteria.</w:t>
      </w:r>
    </w:p>
    <w:p w:rsidR="00000000" w:rsidRPr="00224C97" w:rsidP="00224C97">
      <w:pPr>
        <w:pStyle w:val="ListBullet"/>
      </w:pPr>
      <w:r w:rsidRPr="00224C97">
        <w:t>Reading skills to interpret familiar workplace documentation and unfamiliar adhesive product instructions</w:t>
      </w:r>
    </w:p>
    <w:p w:rsidR="00000000" w:rsidRPr="00224C97" w:rsidP="00224C97">
      <w:pPr>
        <w:pStyle w:val="ListBullet"/>
      </w:pPr>
      <w:r w:rsidRPr="00224C97">
        <w:t>Writing skills to communicate factual information in familiar workplace documents</w:t>
      </w:r>
    </w:p>
    <w:p w:rsidR="00000000" w:rsidRPr="00224C97" w:rsidP="00224C97">
      <w:pPr>
        <w:pStyle w:val="ListBullet"/>
      </w:pPr>
      <w:r w:rsidRPr="00224C97">
        <w:t>Numeracy skills to interpret and use information associated with are</w:t>
      </w:r>
      <w:r w:rsidRPr="00224C97">
        <w:t>a and ratios for measuring amounts of adhesive to be used.</w:t>
      </w:r>
    </w:p>
    <w:p w:rsidR="00000000" w:rsidRPr="00224C97" w:rsidP="00C0515D">
      <w:pPr>
        <w:pStyle w:val="BodyText"/>
      </w:pPr>
      <w:r w:rsidRPr="00224C97">
        <w:t>Other foundation skills essential to performance are explicit in the performance criteria of this unit.</w:t>
      </w:r>
    </w:p>
    <w:p w:rsidR="00000000" w:rsidRPr="00224C97" w:rsidP="00224C97">
      <w:pPr>
        <w:pStyle w:val="Heading1"/>
      </w:pPr>
      <w:bookmarkStart w:id="6" w:name="O_1222095"/>
      <w:bookmarkEnd w:id="6"/>
      <w:r w:rsidRPr="00224C97">
        <w:t>Unit Mapping Information</w:t>
      </w:r>
    </w:p>
    <w:p w:rsidR="00000000" w:rsidRPr="00224C97" w:rsidP="00C0515D">
      <w:pPr>
        <w:pStyle w:val="BodyText"/>
      </w:pPr>
      <w:r w:rsidRPr="00224C97">
        <w:t>Release 1. Supersedes and is equivalent to MSTTF2</w:t>
      </w:r>
      <w:r w:rsidRPr="00224C97">
        <w:t>008 Use adhesives.</w:t>
      </w:r>
    </w:p>
    <w:p w:rsidR="00000000" w:rsidRPr="00224C97" w:rsidP="00224C97">
      <w:pPr>
        <w:pStyle w:val="Heading1"/>
      </w:pPr>
      <w:bookmarkStart w:id="7" w:name="O_1222102"/>
      <w:bookmarkEnd w:id="7"/>
      <w:r w:rsidRPr="00224C97">
        <w:t>Links</w:t>
      </w:r>
    </w:p>
    <w:p w:rsidR="00000000" w:rsidRPr="00224C97" w:rsidP="00C0515D">
      <w:pPr>
        <w:pStyle w:val="BodyText"/>
      </w:pPr>
      <w:r w:rsidRPr="00224C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31BD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24C97" w:rsidP="00224C97"/>
    <w:sectPr w:rsidSect="00224C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97" w:rsidRPr="00C0515D" w:rsidP="00C051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15D" w:rsidP="00224C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515D" w:rsidP="00224C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0515D" w:rsidP="00224C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1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4C97" w:rsidRPr="00C0515D" w:rsidP="00C051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15D" w:rsidRPr="002D2AF8" w:rsidP="00224C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MSTTF2020 Use adhesives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C0515D" w:rsidP="00224C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CE5E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3E60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C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4C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4C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4C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4C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4C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4C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4C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4C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4C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4C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4C97"/>
  </w:style>
  <w:style w:type="character" w:customStyle="1" w:styleId="Heading1Char">
    <w:name w:val="Heading 1 Char"/>
    <w:basedOn w:val="DefaultParagraphFont"/>
    <w:link w:val="Heading1"/>
    <w:rsid w:val="00224C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4C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4C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4C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4C97"/>
    <w:rPr>
      <w:b/>
      <w:spacing w:val="0"/>
    </w:rPr>
  </w:style>
  <w:style w:type="paragraph" w:customStyle="1" w:styleId="SuperHeading">
    <w:name w:val="SuperHeading"/>
    <w:basedOn w:val="Normal"/>
    <w:rsid w:val="00224C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4C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4C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4C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4C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4C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4C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4C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4C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4C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4C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4C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4C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4C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4C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4C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4C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4C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4C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4C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4C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4C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4C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4C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4C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4C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4C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4C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4C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4C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4C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4C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4C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4C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4C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4C97"/>
    <w:rPr>
      <w:i/>
    </w:rPr>
  </w:style>
  <w:style w:type="paragraph" w:styleId="Caption">
    <w:name w:val="caption"/>
    <w:basedOn w:val="BodyText"/>
    <w:next w:val="Normal"/>
    <w:qFormat/>
    <w:rsid w:val="00224C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4C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4C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4C97"/>
  </w:style>
  <w:style w:type="paragraph" w:styleId="TableofFigures">
    <w:name w:val="table of figures"/>
    <w:basedOn w:val="Normal"/>
    <w:next w:val="Normal"/>
    <w:semiHidden/>
    <w:rsid w:val="00224C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4C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4C97"/>
    <w:rPr>
      <w:rFonts w:ascii="Wingdings" w:hAnsi="Wingdings"/>
    </w:rPr>
  </w:style>
  <w:style w:type="paragraph" w:customStyle="1" w:styleId="TableHeading">
    <w:name w:val="Table Heading"/>
    <w:basedOn w:val="HeadingBase"/>
    <w:rsid w:val="00224C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4C97"/>
    <w:rPr>
      <w:color w:val="0033CC"/>
      <w:u w:val="none"/>
    </w:rPr>
  </w:style>
  <w:style w:type="paragraph" w:customStyle="1" w:styleId="BodyTextRight">
    <w:name w:val="Body Text Right"/>
    <w:basedOn w:val="BodyText"/>
    <w:rsid w:val="00224C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4C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4C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4C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4C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4C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4C97"/>
    <w:rPr>
      <w:sz w:val="32"/>
    </w:rPr>
  </w:style>
  <w:style w:type="paragraph" w:customStyle="1" w:styleId="HeadingProcedure">
    <w:name w:val="Heading Procedure"/>
    <w:basedOn w:val="HeadingBase"/>
    <w:next w:val="Normal"/>
    <w:rsid w:val="00224C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4C97"/>
    <w:pPr>
      <w:spacing w:before="60" w:after="60"/>
    </w:pPr>
  </w:style>
  <w:style w:type="paragraph" w:styleId="ListContinue">
    <w:name w:val="List Continue"/>
    <w:basedOn w:val="List"/>
    <w:rsid w:val="00224C97"/>
    <w:pPr>
      <w:ind w:firstLine="0"/>
    </w:pPr>
  </w:style>
  <w:style w:type="paragraph" w:customStyle="1" w:styleId="ListNote">
    <w:name w:val="List Note"/>
    <w:basedOn w:val="List"/>
    <w:rsid w:val="00224C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4C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4C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4C97"/>
    <w:rPr>
      <w:rFonts w:ascii="Courier New" w:hAnsi="Courier New"/>
    </w:rPr>
  </w:style>
  <w:style w:type="paragraph" w:customStyle="1" w:styleId="NoteBullet">
    <w:name w:val="Note Bullet"/>
    <w:basedOn w:val="Note"/>
    <w:rsid w:val="00224C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4C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4C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4C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4C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4C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4C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4C97"/>
    <w:rPr>
      <w:b/>
      <w:smallCaps/>
    </w:rPr>
  </w:style>
  <w:style w:type="paragraph" w:customStyle="1" w:styleId="TableListNumber">
    <w:name w:val="Table List Number"/>
    <w:basedOn w:val="ListNumber"/>
    <w:rsid w:val="00224C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4C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4C97"/>
    <w:pPr>
      <w:numPr>
        <w:numId w:val="8"/>
      </w:numPr>
    </w:pPr>
  </w:style>
  <w:style w:type="paragraph" w:customStyle="1" w:styleId="ListAlpha2">
    <w:name w:val="List Alpha 2"/>
    <w:basedOn w:val="List2"/>
    <w:rsid w:val="00224C97"/>
    <w:pPr>
      <w:numPr>
        <w:numId w:val="7"/>
      </w:numPr>
    </w:pPr>
  </w:style>
  <w:style w:type="paragraph" w:styleId="List2">
    <w:name w:val="List 2"/>
    <w:basedOn w:val="BodyText"/>
    <w:rsid w:val="00224C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4C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4C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4C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4C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4C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4C97"/>
    <w:pPr>
      <w:numPr>
        <w:numId w:val="3"/>
      </w:numPr>
    </w:pPr>
  </w:style>
  <w:style w:type="paragraph" w:styleId="ListContinue2">
    <w:name w:val="List Continue 2"/>
    <w:basedOn w:val="List2"/>
    <w:rsid w:val="00224C97"/>
    <w:pPr>
      <w:ind w:firstLine="0"/>
    </w:pPr>
  </w:style>
  <w:style w:type="paragraph" w:styleId="ListContinue3">
    <w:name w:val="List Continue 3"/>
    <w:basedOn w:val="List3"/>
    <w:rsid w:val="00224C97"/>
    <w:pPr>
      <w:ind w:left="1021" w:firstLine="0"/>
    </w:pPr>
  </w:style>
  <w:style w:type="paragraph" w:styleId="ListContinue4">
    <w:name w:val="List Continue 4"/>
    <w:basedOn w:val="List4"/>
    <w:rsid w:val="00224C97"/>
    <w:pPr>
      <w:ind w:firstLine="0"/>
    </w:pPr>
  </w:style>
  <w:style w:type="paragraph" w:styleId="ListContinue5">
    <w:name w:val="List Continue 5"/>
    <w:basedOn w:val="List5"/>
    <w:rsid w:val="00224C97"/>
    <w:pPr>
      <w:ind w:firstLine="0"/>
    </w:pPr>
  </w:style>
  <w:style w:type="paragraph" w:styleId="ListNumber3">
    <w:name w:val="List Number 3"/>
    <w:basedOn w:val="List3"/>
    <w:rsid w:val="00224C97"/>
    <w:pPr>
      <w:numPr>
        <w:numId w:val="4"/>
      </w:numPr>
    </w:pPr>
  </w:style>
  <w:style w:type="paragraph" w:styleId="ListNumber4">
    <w:name w:val="List Number 4"/>
    <w:basedOn w:val="List4"/>
    <w:rsid w:val="00224C97"/>
    <w:pPr>
      <w:numPr>
        <w:numId w:val="5"/>
      </w:numPr>
    </w:pPr>
  </w:style>
  <w:style w:type="paragraph" w:styleId="ListNumber5">
    <w:name w:val="List Number 5"/>
    <w:basedOn w:val="List5"/>
    <w:rsid w:val="00224C97"/>
    <w:pPr>
      <w:numPr>
        <w:numId w:val="6"/>
      </w:numPr>
    </w:pPr>
  </w:style>
  <w:style w:type="paragraph" w:styleId="BlockText">
    <w:name w:val="Block Text"/>
    <w:basedOn w:val="Normal"/>
    <w:rsid w:val="00224C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4C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4C97"/>
    <w:rPr>
      <w:sz w:val="16"/>
      <w:vertAlign w:val="superscript"/>
    </w:rPr>
  </w:style>
  <w:style w:type="character" w:customStyle="1" w:styleId="Symbols">
    <w:name w:val="Symbols"/>
    <w:basedOn w:val="DefaultParagraphFont"/>
    <w:rsid w:val="00224C97"/>
    <w:rPr>
      <w:rFonts w:ascii="Symbol" w:hAnsi="Symbol"/>
    </w:rPr>
  </w:style>
  <w:style w:type="character" w:customStyle="1" w:styleId="MenuOptions">
    <w:name w:val="Menu Options"/>
    <w:basedOn w:val="DefaultParagraphFont"/>
    <w:rsid w:val="00224C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4C97"/>
    <w:rPr>
      <w:b/>
    </w:rPr>
  </w:style>
  <w:style w:type="character" w:customStyle="1" w:styleId="Underlined">
    <w:name w:val="Underlined"/>
    <w:basedOn w:val="DefaultParagraphFont"/>
    <w:rsid w:val="00224C97"/>
    <w:rPr>
      <w:u w:val="single"/>
    </w:rPr>
  </w:style>
  <w:style w:type="paragraph" w:customStyle="1" w:styleId="TableBodyTextRight">
    <w:name w:val="Table Body Text Right"/>
    <w:basedOn w:val="TableBodyText"/>
    <w:rsid w:val="00224C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4C97"/>
    <w:rPr>
      <w:sz w:val="18"/>
    </w:rPr>
  </w:style>
  <w:style w:type="paragraph" w:customStyle="1" w:styleId="BodySmallRight">
    <w:name w:val="Body Small Right"/>
    <w:basedOn w:val="BodyTextRight"/>
    <w:rsid w:val="00224C97"/>
    <w:rPr>
      <w:sz w:val="18"/>
      <w:szCs w:val="18"/>
    </w:rPr>
  </w:style>
  <w:style w:type="paragraph" w:customStyle="1" w:styleId="MarginEdition">
    <w:name w:val="Margin Edition"/>
    <w:basedOn w:val="MarginNote"/>
    <w:rsid w:val="00224C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4C97"/>
    <w:rPr>
      <w:sz w:val="2"/>
      <w:szCs w:val="2"/>
    </w:rPr>
  </w:style>
  <w:style w:type="character" w:customStyle="1" w:styleId="Small">
    <w:name w:val="Small"/>
    <w:basedOn w:val="DefaultParagraphFont"/>
    <w:rsid w:val="00224C97"/>
    <w:rPr>
      <w:sz w:val="16"/>
    </w:rPr>
  </w:style>
  <w:style w:type="paragraph" w:customStyle="1" w:styleId="WideTable">
    <w:name w:val="Wide Table"/>
    <w:basedOn w:val="Normal"/>
    <w:rsid w:val="00224C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4C97"/>
  </w:style>
  <w:style w:type="paragraph" w:styleId="Quote">
    <w:name w:val="Quote"/>
    <w:basedOn w:val="Heading1"/>
    <w:link w:val="QuoteChar"/>
    <w:qFormat/>
    <w:rsid w:val="00224C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4C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4C97"/>
    <w:pPr>
      <w:pageBreakBefore/>
    </w:pPr>
  </w:style>
  <w:style w:type="paragraph" w:customStyle="1" w:styleId="Border">
    <w:name w:val="Border"/>
    <w:basedOn w:val="Normal"/>
    <w:qFormat/>
    <w:rsid w:val="00224C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4C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C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C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4C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4C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4C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4C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4C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4C97"/>
    <w:rPr>
      <w:u w:val="single"/>
    </w:rPr>
  </w:style>
  <w:style w:type="character" w:customStyle="1" w:styleId="BoldandItalics">
    <w:name w:val="Bold and Italics"/>
    <w:qFormat/>
    <w:rsid w:val="00224C97"/>
    <w:rPr>
      <w:b/>
      <w:i/>
      <w:u w:val="none"/>
    </w:rPr>
  </w:style>
  <w:style w:type="paragraph" w:styleId="BalloonText">
    <w:name w:val="Balloon Text"/>
    <w:basedOn w:val="Normal"/>
    <w:link w:val="BalloonTextChar"/>
    <w:rsid w:val="00224C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4C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4C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4C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4C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4C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4C97"/>
    <w:pPr>
      <w:spacing w:before="0" w:after="0"/>
    </w:pPr>
  </w:style>
  <w:style w:type="paragraph" w:customStyle="1" w:styleId="BodyTextBold">
    <w:name w:val="Body Text Bold"/>
    <w:basedOn w:val="BodyText"/>
    <w:qFormat/>
    <w:rsid w:val="00224C97"/>
    <w:rPr>
      <w:b/>
    </w:rPr>
  </w:style>
  <w:style w:type="character" w:styleId="Hyperlink">
    <w:name w:val="Hyperlink"/>
    <w:basedOn w:val="DefaultParagraphFont"/>
    <w:uiPriority w:val="99"/>
    <w:unhideWhenUsed/>
    <w:rsid w:val="00C051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3249</Characters>
  <Application>Microsoft Office Word</Application>
  <DocSecurity>0</DocSecurity>
  <Lines>95</Lines>
  <Paragraphs>56</Paragraphs>
  <ScaleCrop>false</ScaleCrop>
  <Company>Author-it Software Corporation Ltd.</Company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MSTTF2020 Use adhesives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2022-12-22T00:51:00Z</dcterms:created>
  <dcterms:modified xsi:type="dcterms:W3CDTF">2022-12-22T00:51:00Z</dcterms:modified>
</cp:coreProperties>
</file>