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6A3F" w:rsidP="00346A3F">
      <w:pPr>
        <w:pStyle w:val="Title"/>
      </w:pPr>
      <w:r>
        <w:fldChar w:fldCharType="begin"/>
      </w:r>
      <w:r>
        <w:instrText xml:space="preserve"> TITLE   \* MERGEFORMAT </w:instrText>
      </w:r>
      <w:r>
        <w:fldChar w:fldCharType="separate"/>
      </w:r>
      <w:r>
        <w:t>MSTTF2010 Lay out and mark out canvas or sail materials</w:t>
      </w:r>
      <w:r>
        <w:fldChar w:fldCharType="end"/>
      </w:r>
    </w:p>
    <w:p w:rsidR="00346A3F" w:rsidP="00346A3F">
      <w:pPr>
        <w:pStyle w:val="Version"/>
        <w:sectPr w:rsidSect="000A05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056E" w:rsidP="000A056E">
      <w:pPr>
        <w:pStyle w:val="SuperHeading"/>
      </w:pPr>
      <w:r w:rsidRPr="000A056E">
        <w:t>MSTTF2010 Lay out and mark out canvas or sail materials</w:t>
      </w:r>
    </w:p>
    <w:p w:rsidR="00000000" w:rsidRPr="000A056E" w:rsidP="000A056E">
      <w:pPr>
        <w:pStyle w:val="Heading1"/>
      </w:pPr>
      <w:bookmarkStart w:id="1" w:name="O_934972"/>
      <w:bookmarkEnd w:id="1"/>
      <w:r w:rsidRPr="000A056E">
        <w:t>Modification History</w:t>
      </w:r>
    </w:p>
    <w:p w:rsidR="00000000" w:rsidRPr="000A056E" w:rsidP="00346A3F">
      <w:pPr>
        <w:pStyle w:val="BodyText"/>
      </w:pPr>
      <w:r w:rsidRPr="000A056E">
        <w:t>Release 1. Supersedes and is equivalent to LMTTF2010A Lay out and mark out canvas or sail materials</w:t>
      </w:r>
    </w:p>
    <w:p w:rsidR="00000000" w:rsidRPr="000A056E" w:rsidP="000A056E">
      <w:pPr>
        <w:pStyle w:val="Heading1"/>
      </w:pPr>
      <w:bookmarkStart w:id="2" w:name="O_934980"/>
      <w:bookmarkEnd w:id="2"/>
      <w:r w:rsidRPr="000A056E">
        <w:t>Application</w:t>
      </w:r>
    </w:p>
    <w:p w:rsidR="00000000" w:rsidRPr="000A056E" w:rsidP="00346A3F">
      <w:pPr>
        <w:pStyle w:val="BodyText"/>
      </w:pPr>
      <w:r w:rsidRPr="000A056E">
        <w:t>This unit of competency covers the skills and knowledge required to lay out and mark out m</w:t>
      </w:r>
      <w:r w:rsidRPr="000A056E">
        <w:t>aterials for the manufacture of canvas or sail products.</w:t>
      </w:r>
    </w:p>
    <w:p w:rsidR="00000000" w:rsidRPr="000A056E" w:rsidP="00346A3F">
      <w:pPr>
        <w:pStyle w:val="BodyText"/>
      </w:pPr>
      <w:r w:rsidRPr="000A056E">
        <w:t>Work may involve interaction with other people in the workplace, including supervisors and production personnel. Work may be conducted in operational indoor or outdoor workplaces.</w:t>
      </w:r>
    </w:p>
    <w:p w:rsidR="00000000" w:rsidRPr="000A056E" w:rsidP="00346A3F">
      <w:pPr>
        <w:pStyle w:val="BodyText"/>
      </w:pPr>
      <w:r w:rsidRPr="000A056E">
        <w:t>Work may be condu</w:t>
      </w:r>
      <w:r w:rsidRPr="000A056E">
        <w:t>cted in small to large scale enterprises and may involve individual and team activities. Work is performed within defined procedures under direct supervision.</w:t>
      </w:r>
    </w:p>
    <w:p w:rsidR="00000000" w:rsidRPr="000A056E" w:rsidP="00346A3F">
      <w:pPr>
        <w:pStyle w:val="BodyText"/>
      </w:pPr>
      <w:r w:rsidRPr="000A056E">
        <w:t>No licensing, legislative or certification requirements apply to this unit at the time of public</w:t>
      </w:r>
      <w:r w:rsidRPr="000A056E">
        <w:t>ation.</w:t>
      </w:r>
    </w:p>
    <w:p w:rsidR="00000000" w:rsidRPr="000A056E" w:rsidP="000A056E">
      <w:pPr>
        <w:pStyle w:val="Heading1"/>
      </w:pPr>
      <w:bookmarkStart w:id="3" w:name="O_934979"/>
      <w:bookmarkEnd w:id="3"/>
      <w:r w:rsidRPr="000A056E">
        <w:t>Pre-requisite Unit</w:t>
      </w:r>
    </w:p>
    <w:p w:rsidR="00000000" w:rsidRPr="000A056E" w:rsidP="00346A3F">
      <w:pPr>
        <w:pStyle w:val="BodyText"/>
      </w:pPr>
      <w:r w:rsidRPr="000A056E">
        <w:t>Nil</w:t>
      </w:r>
    </w:p>
    <w:p w:rsidR="00000000" w:rsidRPr="000A056E" w:rsidP="000A056E">
      <w:pPr>
        <w:pStyle w:val="Heading1"/>
      </w:pPr>
      <w:bookmarkStart w:id="4" w:name="O_934978"/>
      <w:bookmarkEnd w:id="4"/>
      <w:r w:rsidRPr="000A056E">
        <w:t>Competency Field</w:t>
      </w:r>
    </w:p>
    <w:p w:rsidR="00000000" w:rsidRPr="000A056E" w:rsidP="00346A3F">
      <w:pPr>
        <w:pStyle w:val="BodyText"/>
      </w:pPr>
      <w:r w:rsidRPr="000A056E">
        <w:t>Textile fabrication</w:t>
      </w:r>
    </w:p>
    <w:p w:rsidR="00000000" w:rsidRPr="000A056E" w:rsidP="000A056E">
      <w:pPr>
        <w:pStyle w:val="Heading1"/>
      </w:pPr>
      <w:bookmarkStart w:id="5" w:name="O_934977"/>
      <w:bookmarkEnd w:id="5"/>
      <w:r w:rsidRPr="000A056E">
        <w:t>Unit Sector</w:t>
      </w:r>
    </w:p>
    <w:p w:rsidR="00000000" w:rsidRPr="000A056E" w:rsidP="00346A3F">
      <w:pPr>
        <w:pStyle w:val="BodyText"/>
      </w:pPr>
      <w:r w:rsidRPr="000A056E">
        <w:t>Not applicable</w:t>
      </w:r>
    </w:p>
    <w:p w:rsidR="00000000" w:rsidRPr="000A056E" w:rsidP="000A056E">
      <w:pPr>
        <w:pStyle w:val="Heading1"/>
      </w:pPr>
      <w:bookmarkStart w:id="6" w:name="O_934976"/>
      <w:bookmarkEnd w:id="6"/>
      <w:r w:rsidRPr="000A056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A056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Performance crite</w:t>
            </w:r>
            <w:r w:rsidRPr="000A056E">
              <w:t>ria describe the performance needed to demonstrate achievement of the element.</w:t>
            </w:r>
          </w:p>
        </w:tc>
      </w:tr>
      <w:tr w:rsidTr="000A05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A056E" w:rsidP="000A056E">
            <w:pPr>
              <w:pStyle w:val="BodyText"/>
            </w:pPr>
            <w:r w:rsidRPr="000A056E">
              <w:t>1</w:t>
            </w:r>
          </w:p>
        </w:tc>
        <w:tc>
          <w:tcPr>
            <w:tcW w:w="1962" w:type="dxa"/>
            <w:vMerge w:val="restart"/>
            <w:tcBorders>
              <w:top w:val="nil"/>
              <w:left w:val="nil"/>
              <w:bottom w:val="nil"/>
              <w:right w:val="nil"/>
            </w:tcBorders>
            <w:tcMar>
              <w:top w:w="0" w:type="dxa"/>
              <w:left w:w="62" w:type="dxa"/>
              <w:bottom w:w="0" w:type="dxa"/>
              <w:right w:w="62" w:type="dxa"/>
            </w:tcMar>
          </w:tcPr>
          <w:p w:rsidR="00000000" w:rsidRPr="000A056E" w:rsidP="000A056E">
            <w:pPr>
              <w:pStyle w:val="BodyText"/>
            </w:pPr>
            <w:r w:rsidRPr="000A056E">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1.1</w:t>
            </w:r>
          </w:p>
        </w:tc>
        <w:tc>
          <w:tcPr>
            <w:tcW w:w="5610" w:type="dxa"/>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Follow standard operating procedures (SOPs)</w:t>
            </w:r>
          </w:p>
        </w:tc>
      </w:tr>
      <w:tr w:rsidTr="000A05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1.2</w:t>
            </w:r>
          </w:p>
        </w:tc>
        <w:tc>
          <w:tcPr>
            <w:tcW w:w="5610" w:type="dxa"/>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 xml:space="preserve">Comply with work health and safety (WHS) </w:t>
            </w:r>
            <w:r w:rsidRPr="000A056E">
              <w:t>requirements at all times</w:t>
            </w:r>
          </w:p>
        </w:tc>
      </w:tr>
      <w:tr w:rsidTr="000A05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1.3</w:t>
            </w:r>
          </w:p>
        </w:tc>
        <w:tc>
          <w:tcPr>
            <w:tcW w:w="5610" w:type="dxa"/>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Use appropriate personal protective equipment (PPE) in accordance with SOPs</w:t>
            </w:r>
          </w:p>
        </w:tc>
      </w:tr>
      <w:tr w:rsidTr="000A05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1.4</w:t>
            </w:r>
          </w:p>
        </w:tc>
        <w:tc>
          <w:tcPr>
            <w:tcW w:w="5610" w:type="dxa"/>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Identify job requirements from specifications, drawings, job sheets or work instructions</w:t>
            </w:r>
          </w:p>
        </w:tc>
      </w:tr>
      <w:tr w:rsidTr="000A056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056E">
            <w:pPr>
              <w:pStyle w:val="BodyText"/>
              <w:rPr>
                <w:lang w:val="en-NZ"/>
              </w:rPr>
            </w:pPr>
          </w:p>
        </w:tc>
      </w:tr>
      <w:tr w:rsidTr="000A05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A056E" w:rsidP="000A056E">
            <w:pPr>
              <w:pStyle w:val="BodyText"/>
            </w:pPr>
            <w:r w:rsidRPr="000A056E">
              <w:t>2</w:t>
            </w:r>
          </w:p>
        </w:tc>
        <w:tc>
          <w:tcPr>
            <w:tcW w:w="1962" w:type="dxa"/>
            <w:vMerge w:val="restart"/>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rPr>
                <w:rStyle w:val="SpecialBold"/>
              </w:rPr>
              <w:t>Prepare for laying out and marking out processes</w:t>
            </w:r>
          </w:p>
        </w:tc>
        <w:tc>
          <w:tcPr>
            <w:tcW w:w="770" w:type="dxa"/>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2.1</w:t>
            </w:r>
          </w:p>
        </w:tc>
        <w:tc>
          <w:tcPr>
            <w:tcW w:w="5610" w:type="dxa"/>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Analyse specifications, drawings, sketches or diagrams to determine task requirements</w:t>
            </w:r>
          </w:p>
        </w:tc>
      </w:tr>
      <w:tr w:rsidTr="000A05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2.2</w:t>
            </w:r>
          </w:p>
        </w:tc>
        <w:tc>
          <w:tcPr>
            <w:tcW w:w="5610" w:type="dxa"/>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 xml:space="preserve">Determine amount of floor or table space required to lay out material </w:t>
            </w:r>
          </w:p>
        </w:tc>
      </w:tr>
      <w:tr w:rsidTr="000A05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2.3</w:t>
            </w:r>
          </w:p>
        </w:tc>
        <w:tc>
          <w:tcPr>
            <w:tcW w:w="5610" w:type="dxa"/>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 xml:space="preserve">Select and set up equipment needed for laying and marking out </w:t>
            </w:r>
          </w:p>
        </w:tc>
      </w:tr>
      <w:tr w:rsidTr="000A05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2.4</w:t>
            </w:r>
          </w:p>
        </w:tc>
        <w:tc>
          <w:tcPr>
            <w:tcW w:w="5610" w:type="dxa"/>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Determine and sequence steps in laying and marking out processes for maximum productivity</w:t>
            </w:r>
          </w:p>
        </w:tc>
      </w:tr>
      <w:tr w:rsidTr="000A05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2.5</w:t>
            </w:r>
          </w:p>
        </w:tc>
        <w:tc>
          <w:tcPr>
            <w:tcW w:w="5610" w:type="dxa"/>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Ensure there is adequate lighting for the laying and marking out processes</w:t>
            </w:r>
          </w:p>
        </w:tc>
      </w:tr>
      <w:tr w:rsidTr="000A05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2.6</w:t>
            </w:r>
          </w:p>
        </w:tc>
        <w:tc>
          <w:tcPr>
            <w:tcW w:w="5610" w:type="dxa"/>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 xml:space="preserve">Apply workplace procedures and instructions </w:t>
            </w:r>
          </w:p>
        </w:tc>
      </w:tr>
      <w:tr w:rsidTr="000A056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056E">
            <w:pPr>
              <w:pStyle w:val="BodyText"/>
              <w:rPr>
                <w:lang w:val="en-NZ"/>
              </w:rPr>
            </w:pPr>
          </w:p>
        </w:tc>
      </w:tr>
      <w:tr w:rsidTr="000A05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A056E" w:rsidP="000A056E">
            <w:pPr>
              <w:pStyle w:val="BodyText"/>
            </w:pPr>
            <w:r w:rsidRPr="000A056E">
              <w:t>3</w:t>
            </w:r>
          </w:p>
        </w:tc>
        <w:tc>
          <w:tcPr>
            <w:tcW w:w="1962" w:type="dxa"/>
            <w:vMerge w:val="restart"/>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rPr>
                <w:rStyle w:val="SpecialBold"/>
              </w:rPr>
              <w:t>Lay out material</w:t>
            </w:r>
          </w:p>
        </w:tc>
        <w:tc>
          <w:tcPr>
            <w:tcW w:w="770" w:type="dxa"/>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3.1</w:t>
            </w:r>
          </w:p>
        </w:tc>
        <w:tc>
          <w:tcPr>
            <w:tcW w:w="5610" w:type="dxa"/>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Remove obstructions and debris from around work area, and clean work table or work surface</w:t>
            </w:r>
          </w:p>
        </w:tc>
      </w:tr>
      <w:tr w:rsidTr="000A05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3.2</w:t>
            </w:r>
          </w:p>
        </w:tc>
        <w:tc>
          <w:tcPr>
            <w:tcW w:w="5610" w:type="dxa"/>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Move material to the work area and spread out onto the work table or work surface</w:t>
            </w:r>
          </w:p>
        </w:tc>
      </w:tr>
      <w:tr w:rsidTr="000A05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3.3</w:t>
            </w:r>
          </w:p>
        </w:tc>
        <w:tc>
          <w:tcPr>
            <w:tcW w:w="5610" w:type="dxa"/>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Layer material according to requirements and anchor to prevent movement using appropriate devices and WHS work practices</w:t>
            </w:r>
          </w:p>
        </w:tc>
      </w:tr>
      <w:tr w:rsidTr="000A05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3.4</w:t>
            </w:r>
          </w:p>
        </w:tc>
        <w:tc>
          <w:tcPr>
            <w:tcW w:w="5610" w:type="dxa"/>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Place templates in position, if used</w:t>
            </w:r>
          </w:p>
        </w:tc>
      </w:tr>
      <w:tr w:rsidTr="000A056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056E">
            <w:pPr>
              <w:pStyle w:val="BodyText"/>
              <w:rPr>
                <w:lang w:val="en-NZ"/>
              </w:rPr>
            </w:pPr>
          </w:p>
        </w:tc>
      </w:tr>
      <w:tr w:rsidTr="000A05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A056E" w:rsidP="000A056E">
            <w:pPr>
              <w:pStyle w:val="BodyText"/>
            </w:pPr>
            <w:r w:rsidRPr="000A056E">
              <w:t>4</w:t>
            </w:r>
          </w:p>
        </w:tc>
        <w:tc>
          <w:tcPr>
            <w:tcW w:w="1962" w:type="dxa"/>
            <w:vMerge w:val="restart"/>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rPr>
                <w:rStyle w:val="SpecialBold"/>
              </w:rPr>
              <w:t>Mark out required shapes and features</w:t>
            </w:r>
          </w:p>
        </w:tc>
        <w:tc>
          <w:tcPr>
            <w:tcW w:w="770" w:type="dxa"/>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4.1</w:t>
            </w:r>
          </w:p>
        </w:tc>
        <w:tc>
          <w:tcPr>
            <w:tcW w:w="5610" w:type="dxa"/>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Interpret dimensions and other relevant specifications and establish datum point</w:t>
            </w:r>
          </w:p>
        </w:tc>
      </w:tr>
      <w:tr w:rsidTr="000A05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4.2</w:t>
            </w:r>
          </w:p>
        </w:tc>
        <w:tc>
          <w:tcPr>
            <w:tcW w:w="5610" w:type="dxa"/>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Plot and mark out required shapes using manual or electronic processes to maximise use or material and minimise waste</w:t>
            </w:r>
          </w:p>
        </w:tc>
      </w:tr>
      <w:tr w:rsidTr="000A05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4.3</w:t>
            </w:r>
          </w:p>
        </w:tc>
        <w:tc>
          <w:tcPr>
            <w:tcW w:w="5610" w:type="dxa"/>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Make allowances for seams, joins, reinforce</w:t>
            </w:r>
            <w:r w:rsidRPr="000A056E">
              <w:t>d edges and other design features</w:t>
            </w:r>
          </w:p>
        </w:tc>
      </w:tr>
      <w:tr w:rsidTr="000A05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4.4</w:t>
            </w:r>
          </w:p>
        </w:tc>
        <w:tc>
          <w:tcPr>
            <w:tcW w:w="5610" w:type="dxa"/>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 xml:space="preserve">Plot and mark positions of openings, inserts, gussets, reinforcing, attachments and other components </w:t>
            </w:r>
          </w:p>
        </w:tc>
      </w:tr>
      <w:tr w:rsidTr="000A056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056E">
            <w:pPr>
              <w:pStyle w:val="BodyText"/>
              <w:rPr>
                <w:lang w:val="en-NZ"/>
              </w:rPr>
            </w:pPr>
          </w:p>
        </w:tc>
      </w:tr>
      <w:tr w:rsidTr="000A05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A056E" w:rsidP="000A056E">
            <w:pPr>
              <w:pStyle w:val="BodyText"/>
            </w:pPr>
            <w:r w:rsidRPr="000A056E">
              <w:t>5</w:t>
            </w:r>
          </w:p>
        </w:tc>
        <w:tc>
          <w:tcPr>
            <w:tcW w:w="1962" w:type="dxa"/>
            <w:vMerge w:val="restart"/>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rPr>
                <w:rStyle w:val="SpecialBold"/>
              </w:rPr>
              <w:t>Use plotting table</w:t>
            </w:r>
          </w:p>
        </w:tc>
        <w:tc>
          <w:tcPr>
            <w:tcW w:w="770" w:type="dxa"/>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5.1</w:t>
            </w:r>
          </w:p>
        </w:tc>
        <w:tc>
          <w:tcPr>
            <w:tcW w:w="5610" w:type="dxa"/>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Check plotting table vacuum to ensure it reaches specified value</w:t>
            </w:r>
          </w:p>
        </w:tc>
      </w:tr>
      <w:tr w:rsidTr="000A05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5.2</w:t>
            </w:r>
          </w:p>
        </w:tc>
        <w:tc>
          <w:tcPr>
            <w:tcW w:w="5610" w:type="dxa"/>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Lay out material on table and check to ensure it is free of creases, folds or other conditions that would prevent it lying flat</w:t>
            </w:r>
          </w:p>
        </w:tc>
      </w:tr>
      <w:tr w:rsidTr="000A05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5.3</w:t>
            </w:r>
          </w:p>
        </w:tc>
        <w:tc>
          <w:tcPr>
            <w:tcW w:w="5610" w:type="dxa"/>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Check plotter slide for smooth travel</w:t>
            </w:r>
          </w:p>
        </w:tc>
      </w:tr>
      <w:tr w:rsidTr="000A05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5.4</w:t>
            </w:r>
          </w:p>
        </w:tc>
        <w:tc>
          <w:tcPr>
            <w:tcW w:w="5610" w:type="dxa"/>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Initiate appropriate software program and load or key in data required by so</w:t>
            </w:r>
            <w:r w:rsidRPr="000A056E">
              <w:t>ftware program</w:t>
            </w:r>
          </w:p>
        </w:tc>
      </w:tr>
      <w:tr w:rsidTr="000A05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5.5</w:t>
            </w:r>
          </w:p>
        </w:tc>
        <w:tc>
          <w:tcPr>
            <w:tcW w:w="5610" w:type="dxa"/>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Perform plotting processes and apply WHS practices</w:t>
            </w:r>
          </w:p>
        </w:tc>
      </w:tr>
      <w:tr w:rsidTr="000A05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5.6</w:t>
            </w:r>
          </w:p>
        </w:tc>
        <w:tc>
          <w:tcPr>
            <w:tcW w:w="5610" w:type="dxa"/>
            <w:tcBorders>
              <w:top w:val="nil"/>
              <w:left w:val="nil"/>
              <w:bottom w:val="nil"/>
              <w:right w:val="nil"/>
            </w:tcBorders>
            <w:tcMar>
              <w:top w:w="0" w:type="dxa"/>
              <w:left w:w="62" w:type="dxa"/>
              <w:bottom w:w="0" w:type="dxa"/>
              <w:right w:w="62" w:type="dxa"/>
            </w:tcMar>
          </w:tcPr>
          <w:p w:rsidR="00000000" w:rsidRPr="000A056E" w:rsidP="000A056E">
            <w:pPr>
              <w:pStyle w:val="BodyText"/>
            </w:pPr>
            <w:r w:rsidRPr="000A056E">
              <w:t>Release vacuum when plotting process is complete, and complete relevant documentation</w:t>
            </w:r>
          </w:p>
        </w:tc>
      </w:tr>
    </w:tbl>
    <w:p w:rsidR="00000000" w:rsidRPr="000A056E" w:rsidP="000A056E">
      <w:pPr>
        <w:pStyle w:val="BodyText"/>
      </w:pPr>
    </w:p>
    <w:p w:rsidR="00000000" w:rsidRPr="000A056E" w:rsidP="000A056E">
      <w:pPr>
        <w:pStyle w:val="AllowPageBreak"/>
      </w:pPr>
    </w:p>
    <w:p w:rsidR="00000000" w:rsidRPr="000A056E" w:rsidP="000A056E">
      <w:pPr>
        <w:pStyle w:val="Heading1"/>
      </w:pPr>
      <w:bookmarkStart w:id="7" w:name="O_934975"/>
      <w:bookmarkEnd w:id="7"/>
      <w:r w:rsidRPr="000A056E">
        <w:t>Foundation Skills</w:t>
      </w:r>
    </w:p>
    <w:p w:rsidR="00000000" w:rsidRPr="000A056E" w:rsidP="00346A3F">
      <w:pPr>
        <w:pStyle w:val="BodyText"/>
      </w:pPr>
      <w:r w:rsidRPr="000A056E">
        <w:t>This section describes those required skills (language, literacy and numeracy) that are essential to performance.</w:t>
      </w:r>
    </w:p>
    <w:p w:rsidR="00000000" w:rsidRPr="000A056E" w:rsidP="00346A3F">
      <w:pPr>
        <w:pStyle w:val="BodyText"/>
      </w:pPr>
      <w:r w:rsidRPr="000A056E">
        <w:t>Foundation skills essential to performance are explicit in the performance criteria of this unit of competency.</w:t>
      </w:r>
    </w:p>
    <w:p w:rsidR="00000000" w:rsidRPr="000A056E" w:rsidP="000A056E">
      <w:pPr>
        <w:pStyle w:val="Heading1"/>
      </w:pPr>
      <w:bookmarkStart w:id="8" w:name="O_934974"/>
      <w:bookmarkEnd w:id="8"/>
      <w:r w:rsidRPr="000A056E">
        <w:t>Range of Con</w:t>
      </w:r>
      <w:r w:rsidRPr="000A056E">
        <w:t>ditions</w:t>
      </w:r>
    </w:p>
    <w:tbl>
      <w:tblPr>
        <w:tblW w:w="0" w:type="auto"/>
        <w:tblCellMar>
          <w:left w:w="62" w:type="dxa"/>
          <w:right w:w="62" w:type="dxa"/>
        </w:tblCellMar>
        <w:tblLook w:val="0000"/>
      </w:tblPr>
      <w:tblGrid>
        <w:gridCol w:w="2163"/>
        <w:gridCol w:w="7033"/>
      </w:tblGrid>
      <w:tr w:rsidTr="00346A3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t>This field allows for different work environments and conditions that may affect performance. Essential operating conditions that may be present (depending on the work situation, needs of the candidate, accessibility of the item, and local industry</w:t>
            </w:r>
            <w:r w:rsidRPr="000A056E">
              <w:t xml:space="preserve"> and regional contexts) are included.</w:t>
            </w:r>
          </w:p>
        </w:tc>
      </w:tr>
      <w:tr w:rsidTr="00346A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A056E" w:rsidP="000A056E">
            <w:pPr>
              <w:pStyle w:val="ListBullet"/>
            </w:pPr>
            <w:r w:rsidRPr="000A056E">
              <w:t>requirements prescribed by legislation, awards, agreements and conditions of employment</w:t>
            </w:r>
          </w:p>
          <w:p w:rsidR="00000000" w:rsidRPr="000A056E" w:rsidP="000A056E">
            <w:pPr>
              <w:pStyle w:val="ListBullet"/>
            </w:pPr>
            <w:r w:rsidRPr="000A056E">
              <w:t>SOPs</w:t>
            </w:r>
          </w:p>
          <w:p w:rsidR="00000000" w:rsidRPr="000A056E" w:rsidP="000A056E">
            <w:pPr>
              <w:pStyle w:val="ListBullet"/>
            </w:pPr>
            <w:r w:rsidRPr="000A056E">
              <w:t>work instructions</w:t>
            </w:r>
          </w:p>
          <w:p w:rsidR="00000000" w:rsidRPr="000A056E" w:rsidP="000A056E">
            <w:pPr>
              <w:pStyle w:val="ListBullet"/>
            </w:pPr>
            <w:r w:rsidRPr="000A056E">
              <w:t>oral, written and visual communication</w:t>
            </w:r>
          </w:p>
          <w:p w:rsidR="00000000" w:rsidRPr="000A056E" w:rsidP="000A056E">
            <w:pPr>
              <w:pStyle w:val="ListBullet"/>
            </w:pPr>
            <w:r w:rsidRPr="000A056E">
              <w:t>quality practices, including responsibility for maintenance of own work quality and contribution to quality improvement of team or section output</w:t>
            </w:r>
          </w:p>
          <w:p w:rsidR="00000000" w:rsidRPr="000A056E" w:rsidP="000A056E">
            <w:pPr>
              <w:pStyle w:val="ListBullet"/>
            </w:pPr>
            <w:r w:rsidRPr="000A056E">
              <w:t>housekeeping</w:t>
            </w:r>
          </w:p>
          <w:p w:rsidR="00000000" w:rsidRPr="000A056E" w:rsidP="000A056E">
            <w:pPr>
              <w:pStyle w:val="ListBullet"/>
            </w:pPr>
            <w:r w:rsidRPr="000A056E">
              <w:t>tasks related to environmental protection, waste disposal, pollution control and recycling</w:t>
            </w:r>
          </w:p>
          <w:p w:rsidR="00000000" w:rsidRPr="000A056E" w:rsidP="000A056E">
            <w:pPr>
              <w:pStyle w:val="ListBullet"/>
            </w:pPr>
            <w:r w:rsidRPr="000A056E">
              <w:t>WHS pr</w:t>
            </w:r>
            <w:r w:rsidRPr="000A056E">
              <w:t>actices</w:t>
            </w:r>
          </w:p>
          <w:p w:rsidR="00000000" w:rsidP="000A056E">
            <w:pPr>
              <w:pStyle w:val="BodyText"/>
              <w:rPr>
                <w:lang w:val="en-NZ"/>
              </w:rPr>
            </w:pPr>
          </w:p>
        </w:tc>
      </w:tr>
      <w:tr w:rsidTr="00346A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056E">
            <w:pPr>
              <w:pStyle w:val="BodyText"/>
              <w:rPr>
                <w:lang w:val="en-NZ"/>
              </w:rPr>
            </w:pPr>
            <w:r w:rsidRPr="000A056E">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0A056E" w:rsidP="000A056E">
            <w:pPr>
              <w:pStyle w:val="ListBullet"/>
            </w:pPr>
            <w:r w:rsidRPr="000A056E">
              <w:t>the relevant industry or Australian Standards that are current at the time this unit is being undertaken</w:t>
            </w:r>
          </w:p>
          <w:p w:rsidR="00000000" w:rsidP="000A056E">
            <w:pPr>
              <w:pStyle w:val="BodyText"/>
              <w:rPr>
                <w:lang w:val="en-NZ"/>
              </w:rPr>
            </w:pPr>
          </w:p>
        </w:tc>
      </w:tr>
      <w:tr w:rsidTr="00346A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A056E" w:rsidP="000A056E">
            <w:pPr>
              <w:pStyle w:val="BodyText"/>
            </w:pPr>
            <w:r w:rsidRPr="000A056E">
              <w:rPr>
                <w:rStyle w:val="SpecialBold"/>
              </w:rPr>
              <w:t>Materials include one or more of the following:</w:t>
            </w:r>
          </w:p>
          <w:p w:rsidR="00000000" w:rsidP="000A056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0A056E" w:rsidP="000A056E">
            <w:pPr>
              <w:pStyle w:val="ListBullet"/>
            </w:pPr>
            <w:r w:rsidRPr="000A056E">
              <w:t>fibres and yarns used in canvas and sail making</w:t>
            </w:r>
          </w:p>
          <w:p w:rsidR="00000000" w:rsidRPr="000A056E" w:rsidP="000A056E">
            <w:pPr>
              <w:pStyle w:val="ListBullet"/>
            </w:pPr>
            <w:r w:rsidRPr="000A056E">
              <w:t>ropes</w:t>
            </w:r>
          </w:p>
          <w:p w:rsidR="00000000" w:rsidRPr="000A056E" w:rsidP="000A056E">
            <w:pPr>
              <w:pStyle w:val="ListBullet"/>
            </w:pPr>
            <w:r w:rsidRPr="000A056E">
              <w:t>dacron, nylon and composite sail cloths</w:t>
            </w:r>
          </w:p>
          <w:p w:rsidR="00000000" w:rsidP="000A056E">
            <w:pPr>
              <w:pStyle w:val="BodyText"/>
              <w:rPr>
                <w:lang w:val="en-NZ"/>
              </w:rPr>
            </w:pPr>
          </w:p>
        </w:tc>
      </w:tr>
      <w:tr w:rsidTr="00346A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A056E" w:rsidP="000A056E">
            <w:pPr>
              <w:pStyle w:val="BodyText"/>
            </w:pPr>
            <w:r w:rsidRPr="000A056E">
              <w:rPr>
                <w:rStyle w:val="SpecialBold"/>
              </w:rPr>
              <w:t>WHS practices</w:t>
            </w:r>
          </w:p>
          <w:p w:rsidR="00000000" w:rsidRPr="000A056E" w:rsidP="000A056E">
            <w:pPr>
              <w:pStyle w:val="BodyText"/>
            </w:pPr>
          </w:p>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A056E" w:rsidP="000A056E">
            <w:pPr>
              <w:pStyle w:val="BodyText"/>
            </w:pPr>
            <w:r w:rsidRPr="000A056E">
              <w:t>WHS practices include hazard identification and control, risk assessment and implementation of risk reduction measures specific to the tasks described by this unit, and include one or more of the fo</w:t>
            </w:r>
            <w:r w:rsidRPr="000A056E">
              <w:t>llowing:</w:t>
            </w:r>
          </w:p>
          <w:p w:rsidR="00000000" w:rsidRPr="000A056E" w:rsidP="000A056E">
            <w:pPr>
              <w:pStyle w:val="ListBullet"/>
            </w:pPr>
            <w:r w:rsidRPr="000A056E">
              <w:t>manual handling techniques</w:t>
            </w:r>
          </w:p>
          <w:p w:rsidR="00000000" w:rsidRPr="000A056E" w:rsidP="000A056E">
            <w:pPr>
              <w:pStyle w:val="ListBullet"/>
            </w:pPr>
            <w:r w:rsidRPr="000A056E">
              <w:t>SOPs</w:t>
            </w:r>
          </w:p>
          <w:p w:rsidR="00000000" w:rsidRPr="000A056E" w:rsidP="000A056E">
            <w:pPr>
              <w:pStyle w:val="ListBullet"/>
            </w:pPr>
            <w:r w:rsidRPr="000A056E">
              <w:t>PPE</w:t>
            </w:r>
          </w:p>
          <w:p w:rsidR="00000000" w:rsidRPr="000A056E" w:rsidP="000A056E">
            <w:pPr>
              <w:pStyle w:val="ListBullet"/>
            </w:pPr>
            <w:r w:rsidRPr="000A056E">
              <w:t>safe materials handling</w:t>
            </w:r>
          </w:p>
          <w:p w:rsidR="00000000" w:rsidRPr="000A056E" w:rsidP="000A056E">
            <w:pPr>
              <w:pStyle w:val="ListBullet"/>
            </w:pPr>
            <w:r w:rsidRPr="000A056E">
              <w:t>taking of rest breaks</w:t>
            </w:r>
          </w:p>
          <w:p w:rsidR="00000000" w:rsidRPr="000A056E" w:rsidP="000A056E">
            <w:pPr>
              <w:pStyle w:val="ListBullet"/>
            </w:pPr>
            <w:r w:rsidRPr="000A056E">
              <w:t>ergonomic arrangement of workplaces</w:t>
            </w:r>
          </w:p>
          <w:p w:rsidR="00000000" w:rsidRPr="000A056E" w:rsidP="000A056E">
            <w:pPr>
              <w:pStyle w:val="ListBullet"/>
            </w:pPr>
            <w:r w:rsidRPr="000A056E">
              <w:t>following marked walkways</w:t>
            </w:r>
          </w:p>
          <w:p w:rsidR="00000000" w:rsidRPr="000A056E" w:rsidP="000A056E">
            <w:pPr>
              <w:pStyle w:val="ListBullet"/>
            </w:pPr>
            <w:r w:rsidRPr="000A056E">
              <w:t>safe storage of equipment</w:t>
            </w:r>
          </w:p>
          <w:p w:rsidR="00000000" w:rsidRPr="000A056E" w:rsidP="000A056E">
            <w:pPr>
              <w:pStyle w:val="ListBullet"/>
            </w:pPr>
            <w:r w:rsidRPr="000A056E">
              <w:t>housekeeping</w:t>
            </w:r>
          </w:p>
          <w:p w:rsidR="00000000" w:rsidRPr="000A056E" w:rsidP="000A056E">
            <w:pPr>
              <w:pStyle w:val="ListBullet"/>
            </w:pPr>
            <w:r w:rsidRPr="000A056E">
              <w:t>reporting accidents and incidents</w:t>
            </w:r>
          </w:p>
          <w:p w:rsidR="00000000" w:rsidRPr="000A056E" w:rsidP="000A056E">
            <w:pPr>
              <w:pStyle w:val="ListBullet"/>
            </w:pPr>
            <w:r w:rsidRPr="000A056E">
              <w:t>environmental practices</w:t>
            </w:r>
          </w:p>
        </w:tc>
      </w:tr>
    </w:tbl>
    <w:p w:rsidR="00000000" w:rsidRPr="000A056E" w:rsidP="000A056E">
      <w:pPr>
        <w:pStyle w:val="BodyText"/>
      </w:pPr>
    </w:p>
    <w:p w:rsidR="00000000" w:rsidRPr="000A056E" w:rsidP="000A056E">
      <w:pPr>
        <w:pStyle w:val="AllowPageBreak"/>
      </w:pPr>
    </w:p>
    <w:p w:rsidR="00000000" w:rsidRPr="000A056E" w:rsidP="000A056E">
      <w:pPr>
        <w:pStyle w:val="Heading1"/>
      </w:pPr>
      <w:bookmarkStart w:id="9" w:name="O_934973"/>
      <w:bookmarkEnd w:id="9"/>
      <w:r w:rsidRPr="000A056E">
        <w:t>Unit Mapping Information</w:t>
      </w:r>
    </w:p>
    <w:p w:rsidR="00000000" w:rsidRPr="000A056E" w:rsidP="00346A3F">
      <w:pPr>
        <w:pStyle w:val="BodyText"/>
      </w:pPr>
      <w:r w:rsidRPr="000A056E">
        <w:t>Release 1. Supersedes and is equivalent to LMTTF2010A Lay out and mark out canvas or sail materials</w:t>
      </w:r>
    </w:p>
    <w:p w:rsidR="00000000" w:rsidRPr="000A056E" w:rsidP="000A056E">
      <w:pPr>
        <w:pStyle w:val="Heading1"/>
      </w:pPr>
      <w:bookmarkStart w:id="10" w:name="O_934966"/>
      <w:bookmarkEnd w:id="10"/>
      <w:r w:rsidRPr="000A056E">
        <w:t>Links</w:t>
      </w:r>
    </w:p>
    <w:p w:rsidR="00000000" w:rsidRPr="000A056E" w:rsidP="00346A3F">
      <w:pPr>
        <w:pStyle w:val="BodyText"/>
      </w:pPr>
      <w:r w:rsidRPr="000A056E">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82DD2">
        <w:rPr>
          <w:rStyle w:val="Hyperlink"/>
        </w:rPr>
        <w:t>https://vetnet.gov.au/Pages/TrainingDocs.aspx?q=a203ec5c-de7d-406b-b3e1-8f1a9b76e92e</w:t>
      </w:r>
      <w:r>
        <w:fldChar w:fldCharType="end"/>
      </w:r>
    </w:p>
    <w:p w:rsidR="00000000" w:rsidRPr="000A056E" w:rsidP="000A056E"/>
    <w:sectPr w:rsidSect="000A05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5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56E" w:rsidRPr="00346A3F" w:rsidP="00346A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5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A3F" w:rsidP="000A05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6A3F" w:rsidP="000A056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46A3F" w:rsidP="000A05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5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A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056E" w:rsidRPr="00346A3F" w:rsidP="00346A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5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A3F" w:rsidRPr="002D2AF8" w:rsidP="000A056E">
    <w:pPr>
      <w:pStyle w:val="Header"/>
      <w:framePr w:wrap="around"/>
    </w:pPr>
    <w:r>
      <w:fldChar w:fldCharType="begin"/>
    </w:r>
    <w:r>
      <w:instrText xml:space="preserve"> TITLE   \* MERGEFORMAT </w:instrText>
    </w:r>
    <w:r>
      <w:fldChar w:fldCharType="separate"/>
    </w:r>
    <w:r>
      <w:t>MSTTF2010 Lay out and mark out canvas or sail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346A3F" w:rsidP="000A05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CE32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7286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056E"/>
    <w:pPr>
      <w:spacing w:before="360" w:after="60"/>
      <w:outlineLvl w:val="0"/>
    </w:pPr>
    <w:rPr>
      <w:sz w:val="32"/>
    </w:rPr>
  </w:style>
  <w:style w:type="paragraph" w:styleId="Heading2">
    <w:name w:val="heading 2"/>
    <w:basedOn w:val="HeadingBase"/>
    <w:next w:val="BodyText"/>
    <w:link w:val="Heading2Char"/>
    <w:qFormat/>
    <w:rsid w:val="000A056E"/>
    <w:pPr>
      <w:keepLines/>
      <w:spacing w:before="240" w:after="120"/>
      <w:outlineLvl w:val="1"/>
    </w:pPr>
    <w:rPr>
      <w:sz w:val="28"/>
      <w:szCs w:val="40"/>
    </w:rPr>
  </w:style>
  <w:style w:type="paragraph" w:styleId="Heading3">
    <w:name w:val="heading 3"/>
    <w:basedOn w:val="HeadingBase"/>
    <w:next w:val="BodyText"/>
    <w:link w:val="Heading3Char"/>
    <w:qFormat/>
    <w:rsid w:val="000A056E"/>
    <w:pPr>
      <w:spacing w:before="180" w:after="120"/>
      <w:outlineLvl w:val="2"/>
    </w:pPr>
    <w:rPr>
      <w:spacing w:val="-10"/>
      <w:kern w:val="32"/>
    </w:rPr>
  </w:style>
  <w:style w:type="paragraph" w:styleId="Heading4">
    <w:name w:val="heading 4"/>
    <w:basedOn w:val="HeadingBase"/>
    <w:next w:val="BodyText"/>
    <w:link w:val="Heading4Char"/>
    <w:qFormat/>
    <w:rsid w:val="000A056E"/>
    <w:pPr>
      <w:spacing w:before="160" w:after="120"/>
      <w:outlineLvl w:val="3"/>
    </w:pPr>
    <w:rPr>
      <w:sz w:val="22"/>
    </w:rPr>
  </w:style>
  <w:style w:type="paragraph" w:styleId="Heading5">
    <w:name w:val="heading 5"/>
    <w:basedOn w:val="HeadingBase"/>
    <w:next w:val="Normal"/>
    <w:link w:val="Heading5Char"/>
    <w:qFormat/>
    <w:rsid w:val="000A056E"/>
    <w:pPr>
      <w:spacing w:before="80"/>
      <w:outlineLvl w:val="4"/>
    </w:pPr>
    <w:rPr>
      <w:color w:val="918585"/>
      <w:sz w:val="20"/>
    </w:rPr>
  </w:style>
  <w:style w:type="paragraph" w:styleId="Heading6">
    <w:name w:val="heading 6"/>
    <w:basedOn w:val="HeadingBase"/>
    <w:next w:val="Normal"/>
    <w:link w:val="Heading6Char"/>
    <w:qFormat/>
    <w:rsid w:val="000A056E"/>
    <w:pPr>
      <w:spacing w:before="60"/>
      <w:outlineLvl w:val="5"/>
    </w:pPr>
    <w:rPr>
      <w:color w:val="918585"/>
      <w:sz w:val="20"/>
    </w:rPr>
  </w:style>
  <w:style w:type="paragraph" w:styleId="Heading7">
    <w:name w:val="heading 7"/>
    <w:basedOn w:val="Normal"/>
    <w:next w:val="Normal"/>
    <w:link w:val="Heading7Char"/>
    <w:qFormat/>
    <w:rsid w:val="000A056E"/>
    <w:pPr>
      <w:ind w:left="720"/>
      <w:outlineLvl w:val="6"/>
    </w:pPr>
    <w:rPr>
      <w:i/>
    </w:rPr>
  </w:style>
  <w:style w:type="paragraph" w:styleId="Heading8">
    <w:name w:val="heading 8"/>
    <w:basedOn w:val="Normal"/>
    <w:next w:val="Normal"/>
    <w:link w:val="Heading8Char"/>
    <w:qFormat/>
    <w:rsid w:val="000A056E"/>
    <w:pPr>
      <w:ind w:left="720"/>
      <w:outlineLvl w:val="7"/>
    </w:pPr>
    <w:rPr>
      <w:i/>
    </w:rPr>
  </w:style>
  <w:style w:type="paragraph" w:styleId="Heading9">
    <w:name w:val="heading 9"/>
    <w:basedOn w:val="Normal"/>
    <w:next w:val="Normal"/>
    <w:link w:val="Heading9Char"/>
    <w:qFormat/>
    <w:rsid w:val="000A056E"/>
    <w:pPr>
      <w:ind w:left="720"/>
      <w:outlineLvl w:val="8"/>
    </w:pPr>
    <w:rPr>
      <w:i/>
    </w:rPr>
  </w:style>
  <w:style w:type="character" w:default="1" w:styleId="DefaultParagraphFont">
    <w:name w:val="Default Paragraph Font"/>
    <w:uiPriority w:val="1"/>
    <w:unhideWhenUsed/>
    <w:rsid w:val="000A05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056E"/>
  </w:style>
  <w:style w:type="character" w:customStyle="1" w:styleId="Heading1Char">
    <w:name w:val="Heading 1 Char"/>
    <w:basedOn w:val="DefaultParagraphFont"/>
    <w:link w:val="Heading1"/>
    <w:rsid w:val="000A056E"/>
    <w:rPr>
      <w:rFonts w:ascii="Times New Roman" w:eastAsia="Times New Roman" w:hAnsi="Times New Roman" w:cs="Times New Roman"/>
      <w:b/>
      <w:sz w:val="32"/>
      <w:szCs w:val="20"/>
      <w:lang w:eastAsia="en-US"/>
    </w:rPr>
  </w:style>
  <w:style w:type="paragraph" w:styleId="BodyText">
    <w:name w:val="Body Text"/>
    <w:basedOn w:val="Normal"/>
    <w:link w:val="BodyTextChar"/>
    <w:rsid w:val="000A05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056E"/>
    <w:rPr>
      <w:rFonts w:ascii="Times New Roman" w:eastAsia="Times New Roman" w:hAnsi="Times New Roman" w:cs="Times New Roman"/>
      <w:sz w:val="24"/>
      <w:lang w:eastAsia="en-US"/>
    </w:rPr>
  </w:style>
  <w:style w:type="paragraph" w:styleId="ListBullet">
    <w:name w:val="List Bullet"/>
    <w:basedOn w:val="List"/>
    <w:rsid w:val="000A056E"/>
    <w:pPr>
      <w:numPr>
        <w:numId w:val="11"/>
      </w:numPr>
      <w:tabs>
        <w:tab w:val="clear" w:pos="340"/>
      </w:tabs>
      <w:spacing w:before="40" w:after="40"/>
    </w:pPr>
  </w:style>
  <w:style w:type="character" w:customStyle="1" w:styleId="SpecialBold">
    <w:name w:val="Special Bold"/>
    <w:basedOn w:val="DefaultParagraphFont"/>
    <w:rsid w:val="000A056E"/>
    <w:rPr>
      <w:b/>
      <w:spacing w:val="0"/>
    </w:rPr>
  </w:style>
  <w:style w:type="paragraph" w:customStyle="1" w:styleId="SuperHeading">
    <w:name w:val="SuperHeading"/>
    <w:basedOn w:val="Normal"/>
    <w:rsid w:val="000A056E"/>
    <w:pPr>
      <w:spacing w:before="240" w:after="120"/>
      <w:outlineLvl w:val="0"/>
    </w:pPr>
    <w:rPr>
      <w:rFonts w:ascii="Times New Roman" w:hAnsi="Times New Roman"/>
      <w:b/>
      <w:sz w:val="32"/>
    </w:rPr>
  </w:style>
  <w:style w:type="paragraph" w:customStyle="1" w:styleId="AllowPageBreak">
    <w:name w:val="AllowPageBreak"/>
    <w:rsid w:val="000A05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05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05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05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05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05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05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05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056E"/>
    <w:rPr>
      <w:rFonts w:ascii="Courier New" w:eastAsia="Times New Roman" w:hAnsi="Courier New" w:cs="Times New Roman"/>
      <w:i/>
      <w:szCs w:val="20"/>
      <w:lang w:eastAsia="en-US"/>
    </w:rPr>
  </w:style>
  <w:style w:type="paragraph" w:customStyle="1" w:styleId="HeadingBase">
    <w:name w:val="Heading Base"/>
    <w:rsid w:val="000A05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056E"/>
    <w:pPr>
      <w:tabs>
        <w:tab w:val="right" w:leader="dot" w:pos="9072"/>
      </w:tabs>
      <w:ind w:left="567"/>
    </w:pPr>
    <w:rPr>
      <w:szCs w:val="22"/>
    </w:rPr>
  </w:style>
  <w:style w:type="paragraph" w:customStyle="1" w:styleId="TOCBase">
    <w:name w:val="TOC Base"/>
    <w:rsid w:val="000A05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056E"/>
    <w:pPr>
      <w:tabs>
        <w:tab w:val="right" w:leader="dot" w:pos="9072"/>
      </w:tabs>
      <w:spacing w:before="40" w:after="40"/>
      <w:ind w:left="284"/>
    </w:pPr>
    <w:rPr>
      <w:rFonts w:ascii="Times New Roman" w:hAnsi="Times New Roman"/>
    </w:rPr>
  </w:style>
  <w:style w:type="paragraph" w:styleId="TOC1">
    <w:name w:val="toc 1"/>
    <w:basedOn w:val="TOCBase"/>
    <w:next w:val="Normal"/>
    <w:rsid w:val="000A05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05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056E"/>
    <w:rPr>
      <w:rFonts w:ascii="Times New Roman" w:eastAsia="Times New Roman" w:hAnsi="Times New Roman" w:cs="Times New Roman"/>
      <w:sz w:val="16"/>
      <w:lang w:eastAsia="en-US"/>
    </w:rPr>
  </w:style>
  <w:style w:type="paragraph" w:styleId="Title">
    <w:name w:val="Title"/>
    <w:basedOn w:val="HeadingBase"/>
    <w:link w:val="TitleChar"/>
    <w:qFormat/>
    <w:rsid w:val="000A056E"/>
    <w:pPr>
      <w:spacing w:before="5040"/>
      <w:jc w:val="center"/>
    </w:pPr>
    <w:rPr>
      <w:sz w:val="48"/>
      <w:szCs w:val="72"/>
      <w:lang w:val="en-US"/>
    </w:rPr>
  </w:style>
  <w:style w:type="character" w:customStyle="1" w:styleId="TitleChar">
    <w:name w:val="Title Char"/>
    <w:basedOn w:val="DefaultParagraphFont"/>
    <w:link w:val="Title"/>
    <w:rsid w:val="000A05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056E"/>
    <w:pPr>
      <w:tabs>
        <w:tab w:val="left" w:pos="3600"/>
        <w:tab w:val="left" w:pos="3958"/>
      </w:tabs>
    </w:pPr>
  </w:style>
  <w:style w:type="paragraph" w:styleId="List">
    <w:name w:val="List"/>
    <w:basedOn w:val="BodyText"/>
    <w:next w:val="BodyText"/>
    <w:rsid w:val="000A056E"/>
    <w:pPr>
      <w:tabs>
        <w:tab w:val="left" w:pos="340"/>
      </w:tabs>
      <w:spacing w:before="60" w:after="60"/>
      <w:ind w:left="340" w:hanging="340"/>
    </w:pPr>
  </w:style>
  <w:style w:type="paragraph" w:customStyle="1" w:styleId="Note">
    <w:name w:val="Note"/>
    <w:basedOn w:val="BodyText"/>
    <w:rsid w:val="000A05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056E"/>
    <w:pPr>
      <w:framePr w:wrap="auto" w:hAnchor="text" w:y="6049"/>
    </w:pPr>
    <w:rPr>
      <w:color w:val="000000"/>
      <w:sz w:val="40"/>
    </w:rPr>
  </w:style>
  <w:style w:type="paragraph" w:customStyle="1" w:styleId="TOCTitle">
    <w:name w:val="TOCTitle"/>
    <w:basedOn w:val="Heading1"/>
    <w:rsid w:val="000A056E"/>
    <w:pPr>
      <w:spacing w:after="240"/>
      <w:jc w:val="center"/>
      <w:outlineLvl w:val="9"/>
    </w:pPr>
    <w:rPr>
      <w:caps/>
    </w:rPr>
  </w:style>
  <w:style w:type="paragraph" w:customStyle="1" w:styleId="Version">
    <w:name w:val="Version"/>
    <w:rsid w:val="000A05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056E"/>
    <w:pPr>
      <w:numPr>
        <w:numId w:val="12"/>
      </w:numPr>
      <w:tabs>
        <w:tab w:val="clear" w:pos="680"/>
      </w:tabs>
    </w:pPr>
  </w:style>
  <w:style w:type="paragraph" w:styleId="Index1">
    <w:name w:val="index 1"/>
    <w:basedOn w:val="Normal"/>
    <w:next w:val="Normal"/>
    <w:semiHidden/>
    <w:rsid w:val="000A056E"/>
    <w:pPr>
      <w:keepNext w:val="0"/>
      <w:tabs>
        <w:tab w:val="right" w:pos="4176"/>
      </w:tabs>
      <w:ind w:left="198" w:hanging="198"/>
    </w:pPr>
    <w:rPr>
      <w:rFonts w:ascii="Garamond" w:hAnsi="Garamond"/>
    </w:rPr>
  </w:style>
  <w:style w:type="paragraph" w:styleId="IndexHeading">
    <w:name w:val="index heading"/>
    <w:basedOn w:val="Normal"/>
    <w:next w:val="Index1"/>
    <w:semiHidden/>
    <w:rsid w:val="000A056E"/>
    <w:pPr>
      <w:spacing w:before="120" w:after="120"/>
    </w:pPr>
    <w:rPr>
      <w:rFonts w:ascii="Arial" w:hAnsi="Arial"/>
      <w:b/>
      <w:color w:val="918585"/>
      <w:sz w:val="24"/>
    </w:rPr>
  </w:style>
  <w:style w:type="paragraph" w:styleId="Header">
    <w:name w:val="header"/>
    <w:basedOn w:val="Normal"/>
    <w:link w:val="HeaderChar"/>
    <w:rsid w:val="000A05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056E"/>
    <w:rPr>
      <w:rFonts w:ascii="Times New Roman" w:eastAsia="Times New Roman" w:hAnsi="Times New Roman" w:cs="Times New Roman"/>
      <w:sz w:val="16"/>
      <w:szCs w:val="20"/>
      <w:lang w:val="en-GB" w:eastAsia="en-US"/>
    </w:rPr>
  </w:style>
  <w:style w:type="paragraph" w:customStyle="1" w:styleId="Chapter">
    <w:name w:val="Chapter"/>
    <w:basedOn w:val="Normal"/>
    <w:rsid w:val="000A056E"/>
    <w:pPr>
      <w:spacing w:before="240"/>
    </w:pPr>
    <w:rPr>
      <w:rFonts w:ascii="Times New Roman" w:hAnsi="Times New Roman"/>
      <w:smallCaps/>
      <w:spacing w:val="80"/>
      <w:sz w:val="28"/>
    </w:rPr>
  </w:style>
  <w:style w:type="paragraph" w:customStyle="1" w:styleId="InChapter">
    <w:name w:val="InChapter"/>
    <w:basedOn w:val="Heading3"/>
    <w:rsid w:val="000A056E"/>
    <w:pPr>
      <w:spacing w:after="240"/>
      <w:outlineLvl w:val="9"/>
    </w:pPr>
    <w:rPr>
      <w:noProof/>
    </w:rPr>
  </w:style>
  <w:style w:type="paragraph" w:styleId="Index2">
    <w:name w:val="index 2"/>
    <w:basedOn w:val="Normal"/>
    <w:next w:val="Normal"/>
    <w:semiHidden/>
    <w:rsid w:val="000A056E"/>
    <w:pPr>
      <w:tabs>
        <w:tab w:val="right" w:pos="4176"/>
      </w:tabs>
      <w:ind w:left="568" w:hanging="284"/>
    </w:pPr>
    <w:rPr>
      <w:rFonts w:ascii="Garamond" w:hAnsi="Garamond"/>
    </w:rPr>
  </w:style>
  <w:style w:type="paragraph" w:customStyle="1" w:styleId="Byline">
    <w:name w:val="Byline"/>
    <w:rsid w:val="000A05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056E"/>
    <w:pPr>
      <w:tabs>
        <w:tab w:val="clear" w:pos="3600"/>
        <w:tab w:val="clear" w:pos="3958"/>
      </w:tabs>
      <w:jc w:val="right"/>
    </w:pPr>
  </w:style>
  <w:style w:type="character" w:styleId="Emphasis">
    <w:name w:val="Emphasis"/>
    <w:basedOn w:val="DefaultParagraphFont"/>
    <w:qFormat/>
    <w:rsid w:val="000A056E"/>
    <w:rPr>
      <w:i/>
    </w:rPr>
  </w:style>
  <w:style w:type="paragraph" w:styleId="Caption">
    <w:name w:val="caption"/>
    <w:basedOn w:val="BodyText"/>
    <w:next w:val="Normal"/>
    <w:qFormat/>
    <w:rsid w:val="000A056E"/>
    <w:pPr>
      <w:framePr w:w="2268" w:hSpace="181" w:vSpace="181" w:wrap="around" w:vAnchor="text" w:hAnchor="page" w:x="1135" w:y="285" w:anchorLock="1"/>
    </w:pPr>
    <w:rPr>
      <w:i/>
    </w:rPr>
  </w:style>
  <w:style w:type="paragraph" w:customStyle="1" w:styleId="MiniTOCTitle">
    <w:name w:val="MiniTOCTitle"/>
    <w:basedOn w:val="Heading4"/>
    <w:rsid w:val="000A056E"/>
    <w:pPr>
      <w:spacing w:before="240"/>
      <w:outlineLvl w:val="9"/>
    </w:pPr>
    <w:rPr>
      <w:noProof/>
      <w:sz w:val="24"/>
    </w:rPr>
  </w:style>
  <w:style w:type="paragraph" w:customStyle="1" w:styleId="MiniTOCItem">
    <w:name w:val="MiniTOCItem"/>
    <w:basedOn w:val="ListBullet"/>
    <w:rsid w:val="000A056E"/>
    <w:pPr>
      <w:numPr>
        <w:numId w:val="0"/>
      </w:numPr>
      <w:tabs>
        <w:tab w:val="right" w:leader="dot" w:pos="6521"/>
      </w:tabs>
      <w:spacing w:before="0" w:after="0"/>
    </w:pPr>
  </w:style>
  <w:style w:type="paragraph" w:customStyle="1" w:styleId="TOFTitle">
    <w:name w:val="TOFTitle"/>
    <w:basedOn w:val="TOCTitle"/>
    <w:rsid w:val="000A056E"/>
  </w:style>
  <w:style w:type="paragraph" w:styleId="TableofFigures">
    <w:name w:val="table of figures"/>
    <w:basedOn w:val="Normal"/>
    <w:next w:val="Normal"/>
    <w:semiHidden/>
    <w:rsid w:val="000A056E"/>
    <w:pPr>
      <w:tabs>
        <w:tab w:val="right" w:leader="dot" w:pos="9072"/>
      </w:tabs>
      <w:ind w:left="970" w:hanging="403"/>
    </w:pPr>
    <w:rPr>
      <w:rFonts w:ascii="Times New Roman" w:hAnsi="Times New Roman"/>
      <w:b/>
    </w:rPr>
  </w:style>
  <w:style w:type="paragraph" w:styleId="ListNumber">
    <w:name w:val="List Number"/>
    <w:basedOn w:val="List"/>
    <w:rsid w:val="000A056E"/>
    <w:pPr>
      <w:numPr>
        <w:numId w:val="14"/>
      </w:numPr>
      <w:tabs>
        <w:tab w:val="clear" w:pos="340"/>
      </w:tabs>
    </w:pPr>
  </w:style>
  <w:style w:type="character" w:customStyle="1" w:styleId="WingdingSymbols">
    <w:name w:val="Wingding Symbols"/>
    <w:rsid w:val="000A056E"/>
    <w:rPr>
      <w:rFonts w:ascii="Wingdings" w:hAnsi="Wingdings"/>
    </w:rPr>
  </w:style>
  <w:style w:type="paragraph" w:customStyle="1" w:styleId="TableHeading">
    <w:name w:val="Table Heading"/>
    <w:basedOn w:val="HeadingBase"/>
    <w:rsid w:val="000A056E"/>
    <w:pPr>
      <w:keepLines/>
      <w:pBdr>
        <w:bottom w:val="single" w:sz="6" w:space="1" w:color="918585"/>
      </w:pBdr>
      <w:spacing w:before="240"/>
    </w:pPr>
  </w:style>
  <w:style w:type="character" w:customStyle="1" w:styleId="HotSpot">
    <w:name w:val="HotSpot"/>
    <w:rsid w:val="000A056E"/>
    <w:rPr>
      <w:color w:val="0033CC"/>
      <w:u w:val="none"/>
    </w:rPr>
  </w:style>
  <w:style w:type="paragraph" w:customStyle="1" w:styleId="BodyTextRight">
    <w:name w:val="Body Text Right"/>
    <w:basedOn w:val="BodyText"/>
    <w:rsid w:val="000A056E"/>
    <w:pPr>
      <w:spacing w:before="0" w:after="0"/>
      <w:jc w:val="right"/>
    </w:pPr>
  </w:style>
  <w:style w:type="paragraph" w:styleId="Index3">
    <w:name w:val="index 3"/>
    <w:basedOn w:val="ListNumber2"/>
    <w:next w:val="Normal"/>
    <w:semiHidden/>
    <w:rsid w:val="000A056E"/>
    <w:pPr>
      <w:numPr>
        <w:numId w:val="0"/>
      </w:numPr>
      <w:tabs>
        <w:tab w:val="right" w:leader="dot" w:pos="4176"/>
      </w:tabs>
    </w:pPr>
  </w:style>
  <w:style w:type="paragraph" w:styleId="ListNumber2">
    <w:name w:val="List Number 2"/>
    <w:basedOn w:val="List2"/>
    <w:rsid w:val="000A056E"/>
    <w:pPr>
      <w:numPr>
        <w:numId w:val="9"/>
      </w:numPr>
      <w:tabs>
        <w:tab w:val="clear" w:pos="1060"/>
      </w:tabs>
    </w:pPr>
  </w:style>
  <w:style w:type="paragraph" w:customStyle="1" w:styleId="MarginNote">
    <w:name w:val="Margin Note"/>
    <w:basedOn w:val="BodyText"/>
    <w:rsid w:val="000A05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05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05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056E"/>
    <w:rPr>
      <w:sz w:val="32"/>
    </w:rPr>
  </w:style>
  <w:style w:type="paragraph" w:customStyle="1" w:styleId="HeadingProcedure">
    <w:name w:val="Heading Procedure"/>
    <w:basedOn w:val="HeadingBase"/>
    <w:next w:val="Normal"/>
    <w:rsid w:val="000A056E"/>
    <w:pPr>
      <w:tabs>
        <w:tab w:val="left" w:pos="0"/>
      </w:tabs>
      <w:spacing w:before="120" w:after="60"/>
    </w:pPr>
    <w:rPr>
      <w:i/>
      <w:color w:val="918585"/>
      <w:sz w:val="22"/>
    </w:rPr>
  </w:style>
  <w:style w:type="paragraph" w:customStyle="1" w:styleId="TableBodyText">
    <w:name w:val="Table Body Text"/>
    <w:basedOn w:val="BodyText"/>
    <w:rsid w:val="000A056E"/>
    <w:pPr>
      <w:spacing w:before="60" w:after="60"/>
    </w:pPr>
  </w:style>
  <w:style w:type="paragraph" w:styleId="ListContinue">
    <w:name w:val="List Continue"/>
    <w:basedOn w:val="List"/>
    <w:rsid w:val="000A056E"/>
    <w:pPr>
      <w:ind w:firstLine="0"/>
    </w:pPr>
  </w:style>
  <w:style w:type="paragraph" w:customStyle="1" w:styleId="ListNote">
    <w:name w:val="List Note"/>
    <w:basedOn w:val="List"/>
    <w:rsid w:val="000A056E"/>
    <w:pPr>
      <w:pBdr>
        <w:top w:val="single" w:sz="6" w:space="2" w:color="918585"/>
        <w:bottom w:val="single" w:sz="6" w:space="2" w:color="918585"/>
      </w:pBdr>
      <w:tabs>
        <w:tab w:val="left" w:pos="1021"/>
      </w:tabs>
      <w:ind w:firstLine="0"/>
    </w:pPr>
  </w:style>
  <w:style w:type="paragraph" w:customStyle="1" w:styleId="Warning">
    <w:name w:val="Warning"/>
    <w:basedOn w:val="BodyText"/>
    <w:rsid w:val="000A056E"/>
    <w:pPr>
      <w:shd w:val="clear" w:color="auto" w:fill="D9D9D9"/>
      <w:tabs>
        <w:tab w:val="left" w:pos="992"/>
      </w:tabs>
      <w:ind w:left="119" w:right="119"/>
    </w:pPr>
    <w:rPr>
      <w:sz w:val="20"/>
    </w:rPr>
  </w:style>
  <w:style w:type="paragraph" w:customStyle="1" w:styleId="MarginIcons">
    <w:name w:val="Margin Icons"/>
    <w:basedOn w:val="BodyText"/>
    <w:rsid w:val="000A05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056E"/>
    <w:rPr>
      <w:rFonts w:ascii="Courier New" w:hAnsi="Courier New"/>
    </w:rPr>
  </w:style>
  <w:style w:type="paragraph" w:customStyle="1" w:styleId="NoteBullet">
    <w:name w:val="Note Bullet"/>
    <w:basedOn w:val="Note"/>
    <w:rsid w:val="000A056E"/>
    <w:pPr>
      <w:tabs>
        <w:tab w:val="clear" w:pos="680"/>
      </w:tabs>
      <w:spacing w:before="60" w:after="60"/>
    </w:pPr>
  </w:style>
  <w:style w:type="paragraph" w:customStyle="1" w:styleId="SubHeading2">
    <w:name w:val="SubHeading2"/>
    <w:basedOn w:val="HeadingBase"/>
    <w:rsid w:val="000A056E"/>
    <w:pPr>
      <w:spacing w:before="240" w:after="60"/>
    </w:pPr>
    <w:rPr>
      <w:sz w:val="20"/>
    </w:rPr>
  </w:style>
  <w:style w:type="paragraph" w:customStyle="1" w:styleId="SubHeading1">
    <w:name w:val="SubHeading1"/>
    <w:basedOn w:val="HeadingBase"/>
    <w:rsid w:val="000A056E"/>
    <w:pPr>
      <w:spacing w:before="240" w:after="60"/>
    </w:pPr>
    <w:rPr>
      <w:color w:val="918585"/>
      <w:sz w:val="22"/>
    </w:rPr>
  </w:style>
  <w:style w:type="paragraph" w:customStyle="1" w:styleId="SideHeading">
    <w:name w:val="Side Heading"/>
    <w:basedOn w:val="HeadingBase"/>
    <w:rsid w:val="000A05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056E"/>
    <w:pPr>
      <w:numPr>
        <w:numId w:val="10"/>
      </w:numPr>
    </w:pPr>
  </w:style>
  <w:style w:type="paragraph" w:styleId="PlainText">
    <w:name w:val="Plain Text"/>
    <w:basedOn w:val="Normal"/>
    <w:link w:val="PlainTextChar"/>
    <w:rsid w:val="000A056E"/>
    <w:rPr>
      <w:sz w:val="20"/>
    </w:rPr>
  </w:style>
  <w:style w:type="character" w:customStyle="1" w:styleId="PlainTextChar">
    <w:name w:val="Plain Text Char"/>
    <w:basedOn w:val="DefaultParagraphFont"/>
    <w:link w:val="PlainText"/>
    <w:rsid w:val="000A056E"/>
    <w:rPr>
      <w:rFonts w:ascii="Courier New" w:eastAsia="Times New Roman" w:hAnsi="Courier New" w:cs="Times New Roman"/>
      <w:sz w:val="20"/>
      <w:szCs w:val="20"/>
      <w:lang w:eastAsia="en-US"/>
    </w:rPr>
  </w:style>
  <w:style w:type="character" w:customStyle="1" w:styleId="MenuOption">
    <w:name w:val="Menu Option"/>
    <w:basedOn w:val="DefaultParagraphFont"/>
    <w:rsid w:val="000A056E"/>
    <w:rPr>
      <w:b/>
      <w:smallCaps/>
    </w:rPr>
  </w:style>
  <w:style w:type="paragraph" w:customStyle="1" w:styleId="TableListNumber">
    <w:name w:val="Table List Number"/>
    <w:basedOn w:val="ListNumber"/>
    <w:rsid w:val="000A056E"/>
    <w:pPr>
      <w:numPr>
        <w:numId w:val="0"/>
      </w:numPr>
    </w:pPr>
  </w:style>
  <w:style w:type="paragraph" w:styleId="TOC4">
    <w:name w:val="toc 4"/>
    <w:basedOn w:val="TOCBase"/>
    <w:next w:val="Normal"/>
    <w:semiHidden/>
    <w:rsid w:val="000A056E"/>
    <w:pPr>
      <w:tabs>
        <w:tab w:val="right" w:leader="dot" w:pos="9071"/>
      </w:tabs>
      <w:ind w:left="1701"/>
    </w:pPr>
  </w:style>
  <w:style w:type="paragraph" w:customStyle="1" w:styleId="ListAlpha">
    <w:name w:val="List Alpha"/>
    <w:basedOn w:val="List"/>
    <w:rsid w:val="000A056E"/>
    <w:pPr>
      <w:numPr>
        <w:numId w:val="8"/>
      </w:numPr>
    </w:pPr>
  </w:style>
  <w:style w:type="paragraph" w:customStyle="1" w:styleId="ListAlpha2">
    <w:name w:val="List Alpha 2"/>
    <w:basedOn w:val="List2"/>
    <w:rsid w:val="000A056E"/>
    <w:pPr>
      <w:numPr>
        <w:numId w:val="7"/>
      </w:numPr>
    </w:pPr>
  </w:style>
  <w:style w:type="paragraph" w:styleId="List2">
    <w:name w:val="List 2"/>
    <w:basedOn w:val="BodyText"/>
    <w:rsid w:val="000A056E"/>
    <w:pPr>
      <w:tabs>
        <w:tab w:val="left" w:pos="680"/>
      </w:tabs>
      <w:spacing w:before="60" w:after="60"/>
      <w:ind w:left="680" w:hanging="340"/>
    </w:pPr>
  </w:style>
  <w:style w:type="paragraph" w:styleId="List3">
    <w:name w:val="List 3"/>
    <w:basedOn w:val="BodyText"/>
    <w:rsid w:val="000A056E"/>
    <w:pPr>
      <w:tabs>
        <w:tab w:val="left" w:pos="1021"/>
      </w:tabs>
      <w:spacing w:before="60" w:after="60"/>
      <w:ind w:left="1020" w:hanging="340"/>
    </w:pPr>
  </w:style>
  <w:style w:type="paragraph" w:styleId="List4">
    <w:name w:val="List 4"/>
    <w:basedOn w:val="BodyText"/>
    <w:rsid w:val="000A056E"/>
    <w:pPr>
      <w:tabs>
        <w:tab w:val="left" w:pos="1361"/>
      </w:tabs>
      <w:spacing w:before="60" w:after="60"/>
      <w:ind w:left="1361" w:hanging="340"/>
    </w:pPr>
  </w:style>
  <w:style w:type="paragraph" w:styleId="List5">
    <w:name w:val="List 5"/>
    <w:basedOn w:val="BodyText"/>
    <w:rsid w:val="000A056E"/>
    <w:pPr>
      <w:tabs>
        <w:tab w:val="left" w:pos="1701"/>
      </w:tabs>
      <w:spacing w:before="60" w:after="60"/>
      <w:ind w:left="1701" w:hanging="340"/>
    </w:pPr>
  </w:style>
  <w:style w:type="paragraph" w:styleId="ListBullet3">
    <w:name w:val="List Bullet 3"/>
    <w:basedOn w:val="List3"/>
    <w:rsid w:val="000A056E"/>
    <w:pPr>
      <w:numPr>
        <w:numId w:val="13"/>
      </w:numPr>
      <w:tabs>
        <w:tab w:val="clear" w:pos="1021"/>
      </w:tabs>
      <w:ind w:left="1037" w:hanging="357"/>
    </w:pPr>
  </w:style>
  <w:style w:type="paragraph" w:styleId="ListBullet4">
    <w:name w:val="List Bullet 4"/>
    <w:basedOn w:val="List4"/>
    <w:rsid w:val="000A056E"/>
    <w:pPr>
      <w:numPr>
        <w:numId w:val="2"/>
      </w:numPr>
      <w:tabs>
        <w:tab w:val="clear" w:pos="1361"/>
      </w:tabs>
    </w:pPr>
  </w:style>
  <w:style w:type="paragraph" w:styleId="ListBullet5">
    <w:name w:val="List Bullet 5"/>
    <w:basedOn w:val="List5"/>
    <w:rsid w:val="000A056E"/>
    <w:pPr>
      <w:numPr>
        <w:numId w:val="3"/>
      </w:numPr>
    </w:pPr>
  </w:style>
  <w:style w:type="paragraph" w:styleId="ListContinue2">
    <w:name w:val="List Continue 2"/>
    <w:basedOn w:val="List2"/>
    <w:rsid w:val="000A056E"/>
    <w:pPr>
      <w:ind w:firstLine="0"/>
    </w:pPr>
  </w:style>
  <w:style w:type="paragraph" w:styleId="ListContinue3">
    <w:name w:val="List Continue 3"/>
    <w:basedOn w:val="List3"/>
    <w:rsid w:val="000A056E"/>
    <w:pPr>
      <w:ind w:left="1021" w:firstLine="0"/>
    </w:pPr>
  </w:style>
  <w:style w:type="paragraph" w:styleId="ListContinue4">
    <w:name w:val="List Continue 4"/>
    <w:basedOn w:val="List4"/>
    <w:rsid w:val="000A056E"/>
    <w:pPr>
      <w:ind w:firstLine="0"/>
    </w:pPr>
  </w:style>
  <w:style w:type="paragraph" w:styleId="ListContinue5">
    <w:name w:val="List Continue 5"/>
    <w:basedOn w:val="List5"/>
    <w:rsid w:val="000A056E"/>
    <w:pPr>
      <w:ind w:firstLine="0"/>
    </w:pPr>
  </w:style>
  <w:style w:type="paragraph" w:styleId="ListNumber3">
    <w:name w:val="List Number 3"/>
    <w:basedOn w:val="List3"/>
    <w:rsid w:val="000A056E"/>
    <w:pPr>
      <w:numPr>
        <w:numId w:val="4"/>
      </w:numPr>
    </w:pPr>
  </w:style>
  <w:style w:type="paragraph" w:styleId="ListNumber4">
    <w:name w:val="List Number 4"/>
    <w:basedOn w:val="List4"/>
    <w:rsid w:val="000A056E"/>
    <w:pPr>
      <w:numPr>
        <w:numId w:val="5"/>
      </w:numPr>
    </w:pPr>
  </w:style>
  <w:style w:type="paragraph" w:styleId="ListNumber5">
    <w:name w:val="List Number 5"/>
    <w:basedOn w:val="List5"/>
    <w:rsid w:val="000A056E"/>
    <w:pPr>
      <w:numPr>
        <w:numId w:val="6"/>
      </w:numPr>
    </w:pPr>
  </w:style>
  <w:style w:type="paragraph" w:styleId="BlockText">
    <w:name w:val="Block Text"/>
    <w:basedOn w:val="Normal"/>
    <w:rsid w:val="000A056E"/>
    <w:pPr>
      <w:spacing w:after="120"/>
      <w:ind w:left="1440" w:right="1440"/>
    </w:pPr>
  </w:style>
  <w:style w:type="character" w:customStyle="1" w:styleId="Subscript">
    <w:name w:val="Subscript"/>
    <w:basedOn w:val="DefaultParagraphFont"/>
    <w:rsid w:val="000A056E"/>
    <w:rPr>
      <w:sz w:val="16"/>
      <w:vertAlign w:val="subscript"/>
    </w:rPr>
  </w:style>
  <w:style w:type="character" w:customStyle="1" w:styleId="Superscript">
    <w:name w:val="Superscript"/>
    <w:basedOn w:val="DefaultParagraphFont"/>
    <w:rsid w:val="000A056E"/>
    <w:rPr>
      <w:sz w:val="16"/>
      <w:vertAlign w:val="superscript"/>
    </w:rPr>
  </w:style>
  <w:style w:type="character" w:customStyle="1" w:styleId="Symbols">
    <w:name w:val="Symbols"/>
    <w:basedOn w:val="DefaultParagraphFont"/>
    <w:rsid w:val="000A056E"/>
    <w:rPr>
      <w:rFonts w:ascii="Symbol" w:hAnsi="Symbol"/>
    </w:rPr>
  </w:style>
  <w:style w:type="character" w:customStyle="1" w:styleId="MenuOptions">
    <w:name w:val="Menu Options"/>
    <w:basedOn w:val="DefaultParagraphFont"/>
    <w:rsid w:val="000A056E"/>
    <w:rPr>
      <w:rFonts w:ascii="Arial Narrow" w:hAnsi="Arial Narrow"/>
      <w:smallCaps/>
    </w:rPr>
  </w:style>
  <w:style w:type="character" w:customStyle="1" w:styleId="Buttons">
    <w:name w:val="Buttons"/>
    <w:basedOn w:val="DefaultParagraphFont"/>
    <w:rsid w:val="000A056E"/>
    <w:rPr>
      <w:b/>
    </w:rPr>
  </w:style>
  <w:style w:type="character" w:customStyle="1" w:styleId="Underlined">
    <w:name w:val="Underlined"/>
    <w:basedOn w:val="DefaultParagraphFont"/>
    <w:rsid w:val="000A056E"/>
    <w:rPr>
      <w:u w:val="single"/>
    </w:rPr>
  </w:style>
  <w:style w:type="paragraph" w:customStyle="1" w:styleId="TableBodyTextRight">
    <w:name w:val="Table Body Text Right"/>
    <w:basedOn w:val="TableBodyText"/>
    <w:rsid w:val="000A056E"/>
    <w:pPr>
      <w:widowControl w:val="0"/>
      <w:autoSpaceDE w:val="0"/>
      <w:autoSpaceDN w:val="0"/>
      <w:adjustRightInd w:val="0"/>
      <w:jc w:val="right"/>
    </w:pPr>
    <w:rPr>
      <w:rFonts w:cs="Arial"/>
      <w:szCs w:val="18"/>
    </w:rPr>
  </w:style>
  <w:style w:type="paragraph" w:customStyle="1" w:styleId="CopyrightText">
    <w:name w:val="Copyright Text"/>
    <w:basedOn w:val="BodyText"/>
    <w:rsid w:val="000A056E"/>
    <w:rPr>
      <w:sz w:val="18"/>
    </w:rPr>
  </w:style>
  <w:style w:type="paragraph" w:customStyle="1" w:styleId="BodySmallRight">
    <w:name w:val="Body Small Right"/>
    <w:basedOn w:val="BodyTextRight"/>
    <w:rsid w:val="000A056E"/>
    <w:rPr>
      <w:sz w:val="18"/>
      <w:szCs w:val="18"/>
    </w:rPr>
  </w:style>
  <w:style w:type="paragraph" w:customStyle="1" w:styleId="MarginEdition">
    <w:name w:val="Margin Edition"/>
    <w:basedOn w:val="MarginNote"/>
    <w:rsid w:val="000A056E"/>
    <w:pPr>
      <w:spacing w:before="0" w:after="0"/>
    </w:pPr>
    <w:rPr>
      <w:rFonts w:ascii="Times New Roman" w:hAnsi="Times New Roman"/>
      <w:color w:val="999999"/>
    </w:rPr>
  </w:style>
  <w:style w:type="paragraph" w:customStyle="1" w:styleId="Spacer">
    <w:name w:val="Spacer"/>
    <w:basedOn w:val="Normal"/>
    <w:rsid w:val="000A056E"/>
    <w:rPr>
      <w:sz w:val="2"/>
      <w:szCs w:val="2"/>
    </w:rPr>
  </w:style>
  <w:style w:type="character" w:customStyle="1" w:styleId="Small">
    <w:name w:val="Small"/>
    <w:basedOn w:val="DefaultParagraphFont"/>
    <w:rsid w:val="000A056E"/>
    <w:rPr>
      <w:sz w:val="16"/>
    </w:rPr>
  </w:style>
  <w:style w:type="paragraph" w:customStyle="1" w:styleId="WideTable">
    <w:name w:val="Wide Table"/>
    <w:basedOn w:val="Normal"/>
    <w:rsid w:val="000A056E"/>
    <w:pPr>
      <w:ind w:left="-1418"/>
    </w:pPr>
    <w:rPr>
      <w:sz w:val="2"/>
      <w:szCs w:val="2"/>
    </w:rPr>
  </w:style>
  <w:style w:type="character" w:styleId="PageNumber">
    <w:name w:val="page number"/>
    <w:basedOn w:val="DefaultParagraphFont"/>
    <w:rsid w:val="000A056E"/>
  </w:style>
  <w:style w:type="paragraph" w:styleId="Quote">
    <w:name w:val="Quote"/>
    <w:basedOn w:val="Heading1"/>
    <w:link w:val="QuoteChar"/>
    <w:qFormat/>
    <w:rsid w:val="000A056E"/>
    <w:rPr>
      <w:b w:val="0"/>
      <w:sz w:val="72"/>
      <w:szCs w:val="72"/>
      <w:lang w:val="en-NZ"/>
    </w:rPr>
  </w:style>
  <w:style w:type="character" w:customStyle="1" w:styleId="QuoteChar">
    <w:name w:val="Quote Char"/>
    <w:basedOn w:val="DefaultParagraphFont"/>
    <w:link w:val="Quote"/>
    <w:rsid w:val="000A05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056E"/>
    <w:pPr>
      <w:pageBreakBefore/>
    </w:pPr>
  </w:style>
  <w:style w:type="paragraph" w:customStyle="1" w:styleId="Border">
    <w:name w:val="Border"/>
    <w:basedOn w:val="Normal"/>
    <w:qFormat/>
    <w:rsid w:val="000A05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056E"/>
    <w:rPr>
      <w:b/>
      <w:bCs/>
      <w:i/>
      <w:iCs/>
      <w:color w:val="auto"/>
    </w:rPr>
  </w:style>
  <w:style w:type="paragraph" w:styleId="IntenseQuote">
    <w:name w:val="Intense Quote"/>
    <w:basedOn w:val="Normal"/>
    <w:next w:val="Normal"/>
    <w:link w:val="IntenseQuoteChar"/>
    <w:uiPriority w:val="30"/>
    <w:qFormat/>
    <w:rsid w:val="000A05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05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056E"/>
    <w:rPr>
      <w:smallCaps/>
      <w:color w:val="auto"/>
      <w:u w:val="single"/>
    </w:rPr>
  </w:style>
  <w:style w:type="character" w:styleId="IntenseReference">
    <w:name w:val="Intense Reference"/>
    <w:basedOn w:val="DefaultParagraphFont"/>
    <w:uiPriority w:val="32"/>
    <w:qFormat/>
    <w:rsid w:val="000A056E"/>
    <w:rPr>
      <w:b/>
      <w:bCs/>
      <w:smallCaps/>
      <w:color w:val="auto"/>
      <w:spacing w:val="5"/>
      <w:u w:val="single"/>
    </w:rPr>
  </w:style>
  <w:style w:type="paragraph" w:customStyle="1" w:styleId="2ColumnHeading">
    <w:name w:val="2Column Heading"/>
    <w:basedOn w:val="BodyText"/>
    <w:qFormat/>
    <w:rsid w:val="000A056E"/>
    <w:pPr>
      <w:spacing w:after="60"/>
      <w:ind w:left="-2268"/>
    </w:pPr>
    <w:rPr>
      <w:b/>
    </w:rPr>
  </w:style>
  <w:style w:type="paragraph" w:customStyle="1" w:styleId="Heading1TOC">
    <w:name w:val="Heading1 TOC"/>
    <w:basedOn w:val="Normal"/>
    <w:qFormat/>
    <w:rsid w:val="000A056E"/>
    <w:pPr>
      <w:spacing w:before="240" w:after="120"/>
    </w:pPr>
    <w:rPr>
      <w:rFonts w:ascii="Times New Roman" w:hAnsi="Times New Roman"/>
      <w:b/>
      <w:sz w:val="32"/>
    </w:rPr>
  </w:style>
  <w:style w:type="paragraph" w:customStyle="1" w:styleId="Heading2TOC">
    <w:name w:val="Heading2 TOC"/>
    <w:basedOn w:val="Normal"/>
    <w:qFormat/>
    <w:rsid w:val="000A056E"/>
    <w:pPr>
      <w:spacing w:before="240" w:after="60"/>
    </w:pPr>
    <w:rPr>
      <w:rFonts w:ascii="Times New Roman" w:hAnsi="Times New Roman"/>
      <w:b/>
      <w:sz w:val="28"/>
    </w:rPr>
  </w:style>
  <w:style w:type="character" w:customStyle="1" w:styleId="Underline">
    <w:name w:val="Underline"/>
    <w:basedOn w:val="DefaultParagraphFont"/>
    <w:qFormat/>
    <w:rsid w:val="000A056E"/>
    <w:rPr>
      <w:u w:val="single"/>
    </w:rPr>
  </w:style>
  <w:style w:type="character" w:customStyle="1" w:styleId="BoldandItalics">
    <w:name w:val="Bold and Italics"/>
    <w:qFormat/>
    <w:rsid w:val="000A056E"/>
    <w:rPr>
      <w:b/>
      <w:i/>
      <w:u w:val="none"/>
    </w:rPr>
  </w:style>
  <w:style w:type="paragraph" w:styleId="BalloonText">
    <w:name w:val="Balloon Text"/>
    <w:basedOn w:val="Normal"/>
    <w:link w:val="BalloonTextChar"/>
    <w:rsid w:val="000A056E"/>
    <w:rPr>
      <w:rFonts w:ascii="Tahoma" w:hAnsi="Tahoma" w:cs="Tahoma"/>
      <w:sz w:val="16"/>
      <w:szCs w:val="16"/>
    </w:rPr>
  </w:style>
  <w:style w:type="character" w:customStyle="1" w:styleId="BalloonTextChar">
    <w:name w:val="Balloon Text Char"/>
    <w:basedOn w:val="DefaultParagraphFont"/>
    <w:link w:val="BalloonText"/>
    <w:rsid w:val="000A05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05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05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056E"/>
    <w:rPr>
      <w:b/>
      <w:color w:val="660033"/>
      <w:spacing w:val="0"/>
    </w:rPr>
  </w:style>
  <w:style w:type="paragraph" w:customStyle="1" w:styleId="Nameditemlist">
    <w:name w:val="Named item list"/>
    <w:basedOn w:val="BodyText"/>
    <w:qFormat/>
    <w:rsid w:val="000A056E"/>
    <w:pPr>
      <w:tabs>
        <w:tab w:val="left" w:pos="2835"/>
      </w:tabs>
      <w:ind w:left="2835" w:hanging="2835"/>
    </w:pPr>
  </w:style>
  <w:style w:type="paragraph" w:customStyle="1" w:styleId="BodyTextnopadding">
    <w:name w:val="Body Text no padding"/>
    <w:basedOn w:val="BodyText"/>
    <w:qFormat/>
    <w:rsid w:val="000A056E"/>
    <w:pPr>
      <w:spacing w:before="0" w:after="0"/>
    </w:pPr>
  </w:style>
  <w:style w:type="paragraph" w:customStyle="1" w:styleId="BodyTextBold">
    <w:name w:val="Body Text Bold"/>
    <w:basedOn w:val="BodyText"/>
    <w:qFormat/>
    <w:rsid w:val="000A056E"/>
    <w:rPr>
      <w:b/>
    </w:rPr>
  </w:style>
  <w:style w:type="character" w:styleId="Hyperlink">
    <w:name w:val="Hyperlink"/>
    <w:basedOn w:val="DefaultParagraphFont"/>
    <w:uiPriority w:val="99"/>
    <w:unhideWhenUsed/>
    <w:rsid w:val="00346A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807</Words>
  <Characters>4741</Characters>
  <Application>Microsoft Office Word</Application>
  <DocSecurity>0</DocSecurity>
  <Lines>249</Lines>
  <Paragraphs>138</Paragraphs>
  <ScaleCrop>false</ScaleCrop>
  <Company>Author-it Software Corporation Ltd.</Company>
  <LinksUpToDate>false</LinksUpToDate>
  <CharactersWithSpaces>5410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MSTTF2010 Lay out and mark out canvas or sail materials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2021-07-21T08:38:00Z</dcterms:created>
  <dcterms:modified xsi:type="dcterms:W3CDTF">2021-07-21T08:38:00Z</dcterms:modified>
</cp:coreProperties>
</file>