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CE1" w:rsidP="002A7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MSTTD5006 Exhibit textile designs or products</w:t>
      </w:r>
      <w:r>
        <w:fldChar w:fldCharType="end"/>
      </w:r>
    </w:p>
    <w:p w:rsidR="002A7CE1" w:rsidP="002A7CE1">
      <w:pPr>
        <w:pStyle w:val="Version"/>
        <w:sectPr w:rsidSect="006C3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CA4" w:rsidP="006C3CA4">
      <w:pPr>
        <w:pStyle w:val="SuperHeading"/>
      </w:pPr>
      <w:r w:rsidRPr="006C3CA4">
        <w:t>Assessment Requirements for MSTTD5006 Exhibit textile designs or products</w:t>
      </w:r>
    </w:p>
    <w:p w:rsidR="00000000" w:rsidRPr="006C3CA4" w:rsidP="006C3CA4">
      <w:pPr>
        <w:pStyle w:val="Heading1"/>
      </w:pPr>
      <w:bookmarkStart w:id="1" w:name="O_933601"/>
      <w:bookmarkEnd w:id="1"/>
      <w:r w:rsidRPr="006C3CA4">
        <w:t>Modification History</w:t>
      </w:r>
    </w:p>
    <w:p w:rsidR="00000000" w:rsidRPr="006C3CA4" w:rsidP="002A7CE1">
      <w:pPr>
        <w:pStyle w:val="BodyText"/>
      </w:pPr>
      <w:r w:rsidRPr="006C3CA4">
        <w:t>Release 1. Supersedes and is equivalent to LMTTD5006A Exhibit textile designs or products</w:t>
      </w:r>
    </w:p>
    <w:p w:rsidR="00000000" w:rsidRPr="006C3CA4" w:rsidP="006C3CA4">
      <w:pPr>
        <w:pStyle w:val="Heading1"/>
      </w:pPr>
      <w:bookmarkStart w:id="2" w:name="O_933604"/>
      <w:bookmarkEnd w:id="2"/>
      <w:r w:rsidRPr="006C3CA4">
        <w:t>Performance Evidence</w:t>
      </w:r>
    </w:p>
    <w:p w:rsidR="00000000" w:rsidRPr="006C3CA4" w:rsidP="002A7CE1">
      <w:pPr>
        <w:pStyle w:val="BodyText"/>
      </w:pPr>
      <w:r w:rsidRPr="006C3CA4">
        <w:t>Evidence required to demonstrate competence in this unit must be relevant to and satisfy the requirements of the elements and performance criteria, and include:</w:t>
      </w:r>
    </w:p>
    <w:p w:rsidR="00000000" w:rsidRPr="006C3CA4" w:rsidP="006C3CA4">
      <w:pPr>
        <w:pStyle w:val="ListBullet"/>
      </w:pPr>
      <w:r w:rsidRPr="006C3CA4">
        <w:t>reading and following work instructions, standard operating procedures (SOPs), safe work pract</w:t>
      </w:r>
      <w:r w:rsidRPr="006C3CA4">
        <w:t xml:space="preserve">ices </w:t>
      </w:r>
    </w:p>
    <w:p w:rsidR="00000000" w:rsidRPr="006C3CA4" w:rsidP="006C3CA4">
      <w:pPr>
        <w:pStyle w:val="ListBullet"/>
      </w:pPr>
      <w:r w:rsidRPr="006C3CA4">
        <w:t>planning and designing an exhibition involving at least three (3) different textile treatments or manipulation effects and at least two (2) types of textile products, in an identified location</w:t>
      </w:r>
    </w:p>
    <w:p w:rsidR="00000000" w:rsidRPr="006C3CA4" w:rsidP="006C3CA4">
      <w:pPr>
        <w:pStyle w:val="ListBullet"/>
      </w:pPr>
      <w:r w:rsidRPr="006C3CA4">
        <w:t>researching and assessing resource requirements, location</w:t>
      </w:r>
      <w:r w:rsidRPr="006C3CA4">
        <w:t>s and exhibition obligations</w:t>
      </w:r>
    </w:p>
    <w:p w:rsidR="00000000" w:rsidRPr="006C3CA4" w:rsidP="006C3CA4">
      <w:pPr>
        <w:pStyle w:val="ListBullet"/>
      </w:pPr>
      <w:r w:rsidRPr="006C3CA4">
        <w:t>resolving planning and resource issues</w:t>
      </w:r>
    </w:p>
    <w:p w:rsidR="00000000" w:rsidRPr="006C3CA4" w:rsidP="006C3CA4">
      <w:pPr>
        <w:pStyle w:val="ListBullet"/>
      </w:pPr>
      <w:r w:rsidRPr="006C3CA4">
        <w:t>communicating, consulting and negotiating with industry professionals and personnel</w:t>
      </w:r>
    </w:p>
    <w:p w:rsidR="00000000" w:rsidRPr="006C3CA4" w:rsidP="006C3CA4">
      <w:pPr>
        <w:pStyle w:val="ListBullet"/>
      </w:pPr>
      <w:r w:rsidRPr="006C3CA4">
        <w:t>managing all aspects of exhibition, including personnel, logistics and financial processes</w:t>
      </w:r>
    </w:p>
    <w:p w:rsidR="00000000" w:rsidRPr="006C3CA4" w:rsidP="006C3CA4">
      <w:pPr>
        <w:pStyle w:val="ListBullet"/>
      </w:pPr>
      <w:r w:rsidRPr="006C3CA4">
        <w:t xml:space="preserve">identifying, </w:t>
      </w:r>
      <w:r w:rsidRPr="006C3CA4">
        <w:t>documenting and implementing suitable method of cataloguing, labelling, pricing and selling products for display</w:t>
      </w:r>
    </w:p>
    <w:p w:rsidR="00000000" w:rsidRPr="006C3CA4" w:rsidP="006C3CA4">
      <w:pPr>
        <w:pStyle w:val="ListBullet"/>
      </w:pPr>
      <w:r w:rsidRPr="006C3CA4">
        <w:t>overseeing transfer, installation, hanging and arranging of works, and closure of presentations</w:t>
      </w:r>
    </w:p>
    <w:p w:rsidR="00000000" w:rsidRPr="006C3CA4" w:rsidP="006C3CA4">
      <w:pPr>
        <w:pStyle w:val="ListBullet"/>
      </w:pPr>
      <w:r w:rsidRPr="006C3CA4">
        <w:t>closing exhibition, assessing finances, and coo</w:t>
      </w:r>
      <w:r w:rsidRPr="006C3CA4">
        <w:t>rdinating dismantling and transfer of displays and equipment</w:t>
      </w:r>
    </w:p>
    <w:p w:rsidR="00000000" w:rsidRPr="006C3CA4" w:rsidP="006C3CA4">
      <w:pPr>
        <w:pStyle w:val="ListBullet"/>
      </w:pPr>
      <w:r w:rsidRPr="006C3CA4">
        <w:t>finalising event with venue management, including payment arrangements</w:t>
      </w:r>
    </w:p>
    <w:p w:rsidR="00000000" w:rsidRPr="006C3CA4" w:rsidP="006C3CA4">
      <w:pPr>
        <w:pStyle w:val="ListBullet"/>
      </w:pPr>
      <w:r w:rsidRPr="006C3CA4">
        <w:t>evaluate overall effectiveness of exhibition and documenting evaluation of exhibition to inform future exhibition planning.</w:t>
      </w:r>
    </w:p>
    <w:p w:rsidR="00000000" w:rsidRPr="006C3CA4" w:rsidP="006C3CA4">
      <w:pPr>
        <w:pStyle w:val="AllowPageBreak"/>
      </w:pPr>
    </w:p>
    <w:p w:rsidR="00000000" w:rsidRPr="006C3CA4" w:rsidP="006C3CA4">
      <w:pPr>
        <w:pStyle w:val="Heading1"/>
      </w:pPr>
      <w:bookmarkStart w:id="3" w:name="O_933603"/>
      <w:bookmarkEnd w:id="3"/>
      <w:r w:rsidRPr="006C3CA4">
        <w:t>Knowledge Evidence</w:t>
      </w:r>
    </w:p>
    <w:p w:rsidR="00000000" w:rsidRPr="006C3CA4" w:rsidP="002A7CE1">
      <w:pPr>
        <w:pStyle w:val="BodyText"/>
      </w:pPr>
      <w:r w:rsidRPr="006C3CA4">
        <w:t>Evidence must be provided that demonstrates knowledge of:</w:t>
      </w:r>
    </w:p>
    <w:p w:rsidR="00000000" w:rsidRPr="006C3CA4" w:rsidP="006C3CA4">
      <w:pPr>
        <w:pStyle w:val="ListBullet"/>
      </w:pPr>
      <w:r w:rsidRPr="006C3CA4">
        <w:t>safe work practices and procedures and use of personal protective equipment (PPE)</w:t>
      </w:r>
    </w:p>
    <w:p w:rsidR="00000000" w:rsidRPr="006C3CA4" w:rsidP="006C3CA4">
      <w:pPr>
        <w:pStyle w:val="ListBullet"/>
      </w:pPr>
      <w:r w:rsidRPr="006C3CA4">
        <w:t>location of local galleries and outlets</w:t>
      </w:r>
    </w:p>
    <w:p w:rsidR="00000000" w:rsidRPr="006C3CA4" w:rsidP="006C3CA4">
      <w:pPr>
        <w:pStyle w:val="ListBullet"/>
      </w:pPr>
      <w:r w:rsidRPr="006C3CA4">
        <w:t>planning procedures:</w:t>
      </w:r>
    </w:p>
    <w:p w:rsidR="00000000" w:rsidRPr="006C3CA4" w:rsidP="006C3CA4">
      <w:pPr>
        <w:pStyle w:val="ListBullet2"/>
      </w:pPr>
      <w:r w:rsidRPr="006C3CA4">
        <w:t>determining exhibition and marketing content</w:t>
      </w:r>
    </w:p>
    <w:p w:rsidR="00000000" w:rsidRPr="006C3CA4" w:rsidP="006C3CA4">
      <w:pPr>
        <w:pStyle w:val="ListBullet2"/>
      </w:pPr>
      <w:r w:rsidRPr="006C3CA4">
        <w:t>selecting products to be exhibited</w:t>
      </w:r>
    </w:p>
    <w:p w:rsidR="00000000" w:rsidRPr="006C3CA4" w:rsidP="006C3CA4">
      <w:pPr>
        <w:pStyle w:val="ListBullet2"/>
      </w:pPr>
      <w:r w:rsidRPr="006C3CA4">
        <w:t>determining and sourcing resource requirements</w:t>
      </w:r>
    </w:p>
    <w:p w:rsidR="00000000" w:rsidRPr="006C3CA4" w:rsidP="006C3CA4">
      <w:pPr>
        <w:pStyle w:val="ListBullet2"/>
      </w:pPr>
      <w:r w:rsidRPr="006C3CA4">
        <w:t>determining exhibition schedules and timelines</w:t>
      </w:r>
    </w:p>
    <w:p w:rsidR="00000000" w:rsidRPr="006C3CA4" w:rsidP="006C3CA4">
      <w:pPr>
        <w:pStyle w:val="ListBullet2"/>
      </w:pPr>
      <w:r w:rsidRPr="006C3CA4">
        <w:t>consulting venue management and sourcing bookings</w:t>
      </w:r>
    </w:p>
    <w:p w:rsidR="00000000" w:rsidRPr="006C3CA4" w:rsidP="006C3CA4">
      <w:pPr>
        <w:pStyle w:val="ListBullet2"/>
      </w:pPr>
      <w:r w:rsidRPr="006C3CA4">
        <w:t>preparing relevant promotional m</w:t>
      </w:r>
      <w:r w:rsidRPr="006C3CA4">
        <w:t>aterial</w:t>
      </w:r>
    </w:p>
    <w:p w:rsidR="00000000" w:rsidRPr="006C3CA4" w:rsidP="006C3CA4">
      <w:pPr>
        <w:pStyle w:val="ListBullet2"/>
      </w:pPr>
      <w:r w:rsidRPr="006C3CA4">
        <w:t>designing floor plans to maximise visual display and appearance</w:t>
      </w:r>
    </w:p>
    <w:p w:rsidR="00000000" w:rsidRPr="006C3CA4" w:rsidP="006C3CA4">
      <w:pPr>
        <w:pStyle w:val="ListBullet"/>
      </w:pPr>
      <w:r w:rsidRPr="006C3CA4">
        <w:t>exhibition requirements:</w:t>
      </w:r>
    </w:p>
    <w:p w:rsidR="00000000" w:rsidRPr="006C3CA4" w:rsidP="006C3CA4">
      <w:pPr>
        <w:pStyle w:val="ListBullet2"/>
      </w:pPr>
      <w:r w:rsidRPr="006C3CA4">
        <w:t>objectives of exhibition</w:t>
      </w:r>
    </w:p>
    <w:p w:rsidR="00000000" w:rsidRPr="006C3CA4" w:rsidP="006C3CA4">
      <w:pPr>
        <w:pStyle w:val="ListBullet2"/>
      </w:pPr>
      <w:r w:rsidRPr="006C3CA4">
        <w:t>target audience</w:t>
      </w:r>
    </w:p>
    <w:p w:rsidR="00000000" w:rsidRPr="006C3CA4" w:rsidP="006C3CA4">
      <w:pPr>
        <w:pStyle w:val="ListBullet2"/>
      </w:pPr>
      <w:r w:rsidRPr="006C3CA4">
        <w:t>products to be exhibited</w:t>
      </w:r>
    </w:p>
    <w:p w:rsidR="00000000" w:rsidRPr="006C3CA4" w:rsidP="006C3CA4">
      <w:pPr>
        <w:pStyle w:val="ListBullet2"/>
      </w:pPr>
      <w:r w:rsidRPr="006C3CA4">
        <w:t>appropriate means of display</w:t>
      </w:r>
    </w:p>
    <w:p w:rsidR="00000000" w:rsidRPr="006C3CA4" w:rsidP="006C3CA4">
      <w:pPr>
        <w:pStyle w:val="ListBullet2"/>
      </w:pPr>
      <w:r w:rsidRPr="006C3CA4">
        <w:t>size or scope of exhibition</w:t>
      </w:r>
    </w:p>
    <w:p w:rsidR="00000000" w:rsidRPr="006C3CA4" w:rsidP="006C3CA4">
      <w:pPr>
        <w:pStyle w:val="ListBullet"/>
      </w:pPr>
      <w:r w:rsidRPr="006C3CA4">
        <w:t>products for exhibition:</w:t>
      </w:r>
    </w:p>
    <w:p w:rsidR="00000000" w:rsidRPr="006C3CA4" w:rsidP="006C3CA4">
      <w:pPr>
        <w:pStyle w:val="ListBullet2"/>
      </w:pPr>
      <w:r w:rsidRPr="006C3CA4">
        <w:t>finished textile products</w:t>
      </w:r>
    </w:p>
    <w:p w:rsidR="00000000" w:rsidRPr="006C3CA4" w:rsidP="006C3CA4">
      <w:pPr>
        <w:pStyle w:val="ListBullet2"/>
      </w:pPr>
      <w:r w:rsidRPr="006C3CA4">
        <w:t>accessories</w:t>
      </w:r>
    </w:p>
    <w:p w:rsidR="00000000" w:rsidRPr="006C3CA4" w:rsidP="006C3CA4">
      <w:pPr>
        <w:pStyle w:val="ListBullet2"/>
      </w:pPr>
      <w:r w:rsidRPr="006C3CA4">
        <w:t>garments</w:t>
      </w:r>
    </w:p>
    <w:p w:rsidR="00000000" w:rsidRPr="006C3CA4" w:rsidP="006C3CA4">
      <w:pPr>
        <w:pStyle w:val="ListBullet2"/>
      </w:pPr>
      <w:r w:rsidRPr="006C3CA4">
        <w:t>lengths of fabric</w:t>
      </w:r>
    </w:p>
    <w:p w:rsidR="00000000" w:rsidRPr="006C3CA4" w:rsidP="006C3CA4">
      <w:pPr>
        <w:pStyle w:val="ListBullet2"/>
      </w:pPr>
      <w:r w:rsidRPr="006C3CA4">
        <w:t>interior applications</w:t>
      </w:r>
    </w:p>
    <w:p w:rsidR="00000000" w:rsidRPr="006C3CA4" w:rsidP="006C3CA4">
      <w:pPr>
        <w:pStyle w:val="ListBullet2"/>
      </w:pPr>
      <w:r w:rsidRPr="006C3CA4">
        <w:t xml:space="preserve">conceptual pieces </w:t>
      </w:r>
    </w:p>
    <w:p w:rsidR="00000000" w:rsidRPr="006C3CA4" w:rsidP="006C3CA4">
      <w:pPr>
        <w:pStyle w:val="ListBullet2"/>
      </w:pPr>
      <w:r w:rsidRPr="006C3CA4">
        <w:t>functional and non functional objects</w:t>
      </w:r>
    </w:p>
    <w:p w:rsidR="00000000" w:rsidRPr="006C3CA4" w:rsidP="006C3CA4">
      <w:pPr>
        <w:pStyle w:val="ListBullet2"/>
      </w:pPr>
      <w:r w:rsidRPr="006C3CA4">
        <w:t>digital folios and displays</w:t>
      </w:r>
    </w:p>
    <w:p w:rsidR="00000000" w:rsidRPr="006C3CA4" w:rsidP="006C3CA4">
      <w:pPr>
        <w:pStyle w:val="ListBullet"/>
      </w:pPr>
      <w:r w:rsidRPr="006C3CA4">
        <w:t>cataloguing methods</w:t>
      </w:r>
    </w:p>
    <w:p w:rsidR="00000000" w:rsidRPr="006C3CA4" w:rsidP="006C3CA4">
      <w:pPr>
        <w:pStyle w:val="ListBullet"/>
      </w:pPr>
      <w:r w:rsidRPr="006C3CA4">
        <w:t>promotional material:</w:t>
      </w:r>
    </w:p>
    <w:p w:rsidR="00000000" w:rsidRPr="006C3CA4" w:rsidP="006C3CA4">
      <w:pPr>
        <w:pStyle w:val="ListBullet2"/>
      </w:pPr>
      <w:r w:rsidRPr="006C3CA4">
        <w:t>invitations</w:t>
      </w:r>
    </w:p>
    <w:p w:rsidR="00000000" w:rsidRPr="006C3CA4" w:rsidP="006C3CA4">
      <w:pPr>
        <w:pStyle w:val="ListBullet2"/>
      </w:pPr>
      <w:r w:rsidRPr="006C3CA4">
        <w:t>labelling</w:t>
      </w:r>
    </w:p>
    <w:p w:rsidR="00000000" w:rsidRPr="006C3CA4" w:rsidP="006C3CA4">
      <w:pPr>
        <w:pStyle w:val="ListBullet2"/>
      </w:pPr>
      <w:r w:rsidRPr="006C3CA4">
        <w:t>media releases</w:t>
      </w:r>
    </w:p>
    <w:p w:rsidR="00000000" w:rsidRPr="006C3CA4" w:rsidP="006C3CA4">
      <w:pPr>
        <w:pStyle w:val="ListBullet2"/>
      </w:pPr>
      <w:r w:rsidRPr="006C3CA4">
        <w:t>pho</w:t>
      </w:r>
      <w:r w:rsidRPr="006C3CA4">
        <w:t>tography</w:t>
      </w:r>
    </w:p>
    <w:p w:rsidR="00000000" w:rsidRPr="006C3CA4" w:rsidP="006C3CA4">
      <w:pPr>
        <w:pStyle w:val="ListBullet2"/>
      </w:pPr>
      <w:r w:rsidRPr="006C3CA4">
        <w:t>product information</w:t>
      </w:r>
    </w:p>
    <w:p w:rsidR="00000000" w:rsidRPr="006C3CA4" w:rsidP="006C3CA4">
      <w:pPr>
        <w:pStyle w:val="ListBullet2"/>
      </w:pPr>
      <w:r w:rsidRPr="006C3CA4">
        <w:t>display props</w:t>
      </w:r>
    </w:p>
    <w:p w:rsidR="00000000" w:rsidRPr="006C3CA4" w:rsidP="006C3CA4">
      <w:pPr>
        <w:pStyle w:val="ListBullet2"/>
      </w:pPr>
      <w:r w:rsidRPr="006C3CA4">
        <w:t>fliers</w:t>
      </w:r>
    </w:p>
    <w:p w:rsidR="00000000" w:rsidRPr="006C3CA4" w:rsidP="006C3CA4">
      <w:pPr>
        <w:pStyle w:val="ListBullet2"/>
      </w:pPr>
      <w:r w:rsidRPr="006C3CA4">
        <w:t>signage</w:t>
      </w:r>
    </w:p>
    <w:p w:rsidR="00000000" w:rsidRPr="006C3CA4" w:rsidP="006C3CA4">
      <w:pPr>
        <w:pStyle w:val="ListBullet2"/>
      </w:pPr>
      <w:r w:rsidRPr="006C3CA4">
        <w:t xml:space="preserve">website </w:t>
      </w:r>
    </w:p>
    <w:p w:rsidR="00000000" w:rsidRPr="006C3CA4" w:rsidP="006C3CA4">
      <w:pPr>
        <w:pStyle w:val="ListBullet2"/>
      </w:pPr>
      <w:r w:rsidRPr="006C3CA4">
        <w:t>email newsletter</w:t>
      </w:r>
    </w:p>
    <w:p w:rsidR="00000000" w:rsidRPr="006C3CA4" w:rsidP="006C3CA4">
      <w:pPr>
        <w:pStyle w:val="ListBullet"/>
      </w:pPr>
      <w:r w:rsidRPr="006C3CA4">
        <w:t>digital display techniques</w:t>
      </w:r>
    </w:p>
    <w:p w:rsidR="00000000" w:rsidRPr="006C3CA4" w:rsidP="006C3CA4">
      <w:pPr>
        <w:pStyle w:val="ListBullet"/>
      </w:pPr>
      <w:r w:rsidRPr="006C3CA4">
        <w:t>needs of target audience:</w:t>
      </w:r>
    </w:p>
    <w:p w:rsidR="00000000" w:rsidRPr="006C3CA4" w:rsidP="006C3CA4">
      <w:pPr>
        <w:pStyle w:val="ListBullet2"/>
      </w:pPr>
      <w:r w:rsidRPr="006C3CA4">
        <w:t>accessible access</w:t>
      </w:r>
    </w:p>
    <w:p w:rsidR="00000000" w:rsidRPr="006C3CA4" w:rsidP="006C3CA4">
      <w:pPr>
        <w:pStyle w:val="ListBullet2"/>
      </w:pPr>
      <w:r w:rsidRPr="006C3CA4">
        <w:t>hearing interpreter</w:t>
      </w:r>
    </w:p>
    <w:p w:rsidR="00000000" w:rsidRPr="006C3CA4" w:rsidP="006C3CA4">
      <w:pPr>
        <w:pStyle w:val="ListBullet2"/>
      </w:pPr>
      <w:r w:rsidRPr="006C3CA4">
        <w:t>size of visual items and print to adapt to vision impairment</w:t>
      </w:r>
    </w:p>
    <w:p w:rsidR="00000000" w:rsidRPr="006C3CA4" w:rsidP="006C3CA4">
      <w:pPr>
        <w:pStyle w:val="ListBullet2"/>
      </w:pPr>
      <w:r w:rsidRPr="006C3CA4">
        <w:t>exceptions to ‘</w:t>
      </w:r>
      <w:r w:rsidRPr="006C3CA4">
        <w:t>do not touch’ requests</w:t>
      </w:r>
    </w:p>
    <w:p w:rsidR="00000000" w:rsidRPr="006C3CA4" w:rsidP="006C3CA4">
      <w:pPr>
        <w:pStyle w:val="ListBullet2"/>
      </w:pPr>
      <w:r w:rsidRPr="006C3CA4">
        <w:t>cultural protocols</w:t>
      </w:r>
    </w:p>
    <w:p w:rsidR="00000000" w:rsidRPr="006C3CA4" w:rsidP="006C3CA4">
      <w:pPr>
        <w:pStyle w:val="ListBullet"/>
      </w:pPr>
      <w:r w:rsidRPr="006C3CA4">
        <w:t>accessibility requirements</w:t>
      </w:r>
    </w:p>
    <w:p w:rsidR="00000000" w:rsidRPr="006C3CA4" w:rsidP="006C3CA4">
      <w:pPr>
        <w:pStyle w:val="ListBullet"/>
      </w:pPr>
      <w:r w:rsidRPr="006C3CA4">
        <w:t>lighting, layout and display techniques</w:t>
      </w:r>
    </w:p>
    <w:p w:rsidR="00000000" w:rsidRPr="006C3CA4" w:rsidP="006C3CA4">
      <w:pPr>
        <w:pStyle w:val="ListBullet"/>
      </w:pPr>
      <w:r w:rsidRPr="006C3CA4">
        <w:t>different methods of presentation</w:t>
      </w:r>
    </w:p>
    <w:p w:rsidR="00000000" w:rsidRPr="006C3CA4" w:rsidP="006C3CA4">
      <w:pPr>
        <w:pStyle w:val="ListBullet"/>
      </w:pPr>
      <w:r w:rsidRPr="006C3CA4">
        <w:t>communication tools and techniques</w:t>
      </w:r>
    </w:p>
    <w:p w:rsidR="00000000" w:rsidRPr="006C3CA4" w:rsidP="006C3CA4">
      <w:pPr>
        <w:pStyle w:val="ListBullet"/>
      </w:pPr>
      <w:r w:rsidRPr="006C3CA4">
        <w:t>sales practices</w:t>
      </w:r>
    </w:p>
    <w:p w:rsidR="00000000" w:rsidRPr="006C3CA4" w:rsidP="006C3CA4">
      <w:pPr>
        <w:pStyle w:val="ListBullet"/>
      </w:pPr>
      <w:r w:rsidRPr="006C3CA4">
        <w:t>quality practices</w:t>
      </w:r>
    </w:p>
    <w:p w:rsidR="00000000" w:rsidRPr="006C3CA4" w:rsidP="006C3CA4">
      <w:pPr>
        <w:pStyle w:val="ListBullet"/>
      </w:pPr>
      <w:r w:rsidRPr="006C3CA4">
        <w:t>workplace procedures</w:t>
      </w:r>
    </w:p>
    <w:p w:rsidR="00000000" w:rsidRPr="006C3CA4" w:rsidP="006C3CA4">
      <w:pPr>
        <w:pStyle w:val="ListBullet"/>
      </w:pPr>
      <w:r w:rsidRPr="006C3CA4">
        <w:t>recording and reporting practices.</w:t>
      </w:r>
    </w:p>
    <w:p w:rsidR="00000000" w:rsidRPr="006C3CA4" w:rsidP="006C3CA4">
      <w:pPr>
        <w:pStyle w:val="AllowPageBreak"/>
      </w:pPr>
    </w:p>
    <w:p w:rsidR="00000000" w:rsidRPr="006C3CA4" w:rsidP="006C3CA4">
      <w:pPr>
        <w:pStyle w:val="Heading1"/>
      </w:pPr>
      <w:bookmarkStart w:id="4" w:name="O_933602"/>
      <w:bookmarkEnd w:id="4"/>
      <w:r w:rsidRPr="006C3CA4">
        <w:t>Assessment Conditions</w:t>
      </w:r>
    </w:p>
    <w:p w:rsidR="00000000" w:rsidRPr="006C3CA4" w:rsidP="006C3CA4">
      <w:pPr>
        <w:pStyle w:val="ListBullet"/>
      </w:pPr>
      <w:r w:rsidRPr="006C3CA4">
        <w:t>Assessors must:</w:t>
      </w:r>
    </w:p>
    <w:p w:rsidR="00000000" w:rsidRPr="006C3CA4" w:rsidP="006C3CA4">
      <w:pPr>
        <w:pStyle w:val="ListBullet2"/>
      </w:pPr>
      <w:r w:rsidRPr="006C3CA4">
        <w:t>satisfy the assessor competency requirements that are in place at the time of the assessment, as set by the VET regulator</w:t>
      </w:r>
    </w:p>
    <w:p w:rsidR="00000000" w:rsidRPr="006C3CA4" w:rsidP="006C3CA4">
      <w:pPr>
        <w:pStyle w:val="ListBullet2"/>
      </w:pPr>
      <w:r w:rsidRPr="006C3CA4">
        <w:t>have vocational competency in exhibiting t</w:t>
      </w:r>
      <w:r w:rsidRPr="006C3CA4">
        <w:t>extiles designs or products, at least to the level being assessed, with relevant industry knowledge and experience.</w:t>
      </w:r>
    </w:p>
    <w:p w:rsidR="00000000" w:rsidRPr="006C3CA4" w:rsidP="006C3CA4">
      <w:pPr>
        <w:pStyle w:val="ListBullet"/>
      </w:pPr>
      <w:r w:rsidRPr="006C3CA4">
        <w:t>Assessment should occur in operational workplace situations. Where this is not possible, or where personal safety or environmental damage a</w:t>
      </w:r>
      <w:r w:rsidRPr="006C3CA4">
        <w:t>re limiting factors, assessment must occur in a sufficiently rigorous simulated environment reflecting realistic operational workplace conditions. This must cover all aspects of workplace performance, including environment, task skills, task management ski</w:t>
      </w:r>
      <w:r w:rsidRPr="006C3CA4">
        <w:t>lls, contingency management skills and job role environment skills.</w:t>
      </w:r>
    </w:p>
    <w:p w:rsidR="00000000" w:rsidRPr="006C3CA4" w:rsidP="006C3CA4">
      <w:pPr>
        <w:pStyle w:val="ListBullet"/>
      </w:pPr>
      <w:r w:rsidRPr="006C3CA4">
        <w:t>Assessment processes and techniques must be appropriate to the language, literacy and numeracy requirements of the work being performed and the needs of the candidate.</w:t>
      </w:r>
    </w:p>
    <w:p w:rsidR="00000000" w:rsidRPr="006C3CA4" w:rsidP="006C3CA4">
      <w:pPr>
        <w:pStyle w:val="ListBullet"/>
      </w:pPr>
      <w:r w:rsidRPr="006C3CA4">
        <w:t>Conditions for asses</w:t>
      </w:r>
      <w:r w:rsidRPr="006C3CA4">
        <w:t>sment must include access to all tools, equipment, materials and documentation required, including relevant workplace procedures, product and manufacturing specifications associated with this unit.</w:t>
      </w:r>
    </w:p>
    <w:p w:rsidR="00000000" w:rsidRPr="006C3CA4" w:rsidP="006C3CA4">
      <w:pPr>
        <w:pStyle w:val="AllowPageBreak"/>
      </w:pPr>
    </w:p>
    <w:p w:rsidR="00000000" w:rsidRPr="006C3CA4" w:rsidP="006C3CA4">
      <w:pPr>
        <w:pStyle w:val="Heading1"/>
      </w:pPr>
      <w:bookmarkStart w:id="5" w:name="O_933600"/>
      <w:bookmarkEnd w:id="5"/>
      <w:r w:rsidRPr="006C3CA4">
        <w:t>Links</w:t>
      </w:r>
    </w:p>
    <w:p w:rsidR="00000000" w:rsidRPr="006C3CA4" w:rsidP="002A7CE1">
      <w:pPr>
        <w:pStyle w:val="BodyText"/>
      </w:pPr>
      <w:r w:rsidRPr="006C3C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E4C8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C3CA4" w:rsidP="006C3CA4"/>
    <w:sectPr w:rsidSect="006C3C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A4" w:rsidRPr="002A7CE1" w:rsidP="002A7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E1" w:rsidP="006C3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CE1" w:rsidP="006C3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7CE1" w:rsidP="006C3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CA4" w:rsidRPr="002A7CE1" w:rsidP="002A7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E1" w:rsidRPr="002D2AF8" w:rsidP="006C3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MSTTD5006 Exhibit textile designs or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A7CE1" w:rsidP="006C3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FC2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CC9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B42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CA4"/>
  </w:style>
  <w:style w:type="character" w:customStyle="1" w:styleId="Heading1Char">
    <w:name w:val="Heading 1 Char"/>
    <w:basedOn w:val="DefaultParagraphFont"/>
    <w:link w:val="Heading1"/>
    <w:rsid w:val="006C3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C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C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CA4"/>
    <w:rPr>
      <w:b/>
      <w:spacing w:val="0"/>
    </w:rPr>
  </w:style>
  <w:style w:type="paragraph" w:customStyle="1" w:styleId="SuperTitle">
    <w:name w:val="SuperTitle"/>
    <w:basedOn w:val="Title"/>
    <w:rsid w:val="006C3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C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CA4"/>
    <w:rPr>
      <w:i/>
    </w:rPr>
  </w:style>
  <w:style w:type="paragraph" w:styleId="Caption">
    <w:name w:val="caption"/>
    <w:basedOn w:val="BodyText"/>
    <w:next w:val="Normal"/>
    <w:qFormat/>
    <w:rsid w:val="006C3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CA4"/>
  </w:style>
  <w:style w:type="paragraph" w:styleId="TableofFigures">
    <w:name w:val="table of figures"/>
    <w:basedOn w:val="Normal"/>
    <w:next w:val="Normal"/>
    <w:semiHidden/>
    <w:rsid w:val="006C3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C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CA4"/>
    <w:rPr>
      <w:rFonts w:ascii="Wingdings" w:hAnsi="Wingdings"/>
    </w:rPr>
  </w:style>
  <w:style w:type="paragraph" w:customStyle="1" w:styleId="TableHeading">
    <w:name w:val="Table Heading"/>
    <w:basedOn w:val="HeadingBase"/>
    <w:rsid w:val="006C3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CA4"/>
    <w:rPr>
      <w:color w:val="0033CC"/>
      <w:u w:val="none"/>
    </w:rPr>
  </w:style>
  <w:style w:type="paragraph" w:customStyle="1" w:styleId="BodyTextRight">
    <w:name w:val="Body Text Right"/>
    <w:basedOn w:val="BodyText"/>
    <w:rsid w:val="006C3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C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CA4"/>
    <w:rPr>
      <w:sz w:val="32"/>
    </w:rPr>
  </w:style>
  <w:style w:type="paragraph" w:customStyle="1" w:styleId="HeadingProcedure">
    <w:name w:val="Heading Procedure"/>
    <w:basedOn w:val="HeadingBase"/>
    <w:next w:val="Normal"/>
    <w:rsid w:val="006C3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CA4"/>
    <w:pPr>
      <w:spacing w:before="60" w:after="60"/>
    </w:pPr>
  </w:style>
  <w:style w:type="paragraph" w:styleId="ListContinue">
    <w:name w:val="List Continue"/>
    <w:basedOn w:val="List"/>
    <w:rsid w:val="006C3CA4"/>
    <w:pPr>
      <w:ind w:firstLine="0"/>
    </w:pPr>
  </w:style>
  <w:style w:type="paragraph" w:customStyle="1" w:styleId="ListNote">
    <w:name w:val="List Note"/>
    <w:basedOn w:val="List"/>
    <w:rsid w:val="006C3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CA4"/>
    <w:rPr>
      <w:rFonts w:ascii="Courier New" w:hAnsi="Courier New"/>
    </w:rPr>
  </w:style>
  <w:style w:type="paragraph" w:customStyle="1" w:styleId="NoteBullet">
    <w:name w:val="Note Bullet"/>
    <w:basedOn w:val="Note"/>
    <w:rsid w:val="006C3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C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CA4"/>
    <w:rPr>
      <w:b/>
      <w:smallCaps/>
    </w:rPr>
  </w:style>
  <w:style w:type="paragraph" w:customStyle="1" w:styleId="TableListNumber">
    <w:name w:val="Table List Number"/>
    <w:basedOn w:val="ListNumber"/>
    <w:rsid w:val="006C3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CA4"/>
    <w:pPr>
      <w:numPr>
        <w:numId w:val="9"/>
      </w:numPr>
    </w:pPr>
  </w:style>
  <w:style w:type="paragraph" w:customStyle="1" w:styleId="ListAlpha2">
    <w:name w:val="List Alpha 2"/>
    <w:basedOn w:val="List2"/>
    <w:rsid w:val="006C3CA4"/>
    <w:pPr>
      <w:numPr>
        <w:numId w:val="8"/>
      </w:numPr>
    </w:pPr>
  </w:style>
  <w:style w:type="paragraph" w:styleId="List2">
    <w:name w:val="List 2"/>
    <w:basedOn w:val="BodyText"/>
    <w:rsid w:val="006C3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C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C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CA4"/>
    <w:pPr>
      <w:numPr>
        <w:numId w:val="4"/>
      </w:numPr>
    </w:pPr>
  </w:style>
  <w:style w:type="paragraph" w:styleId="ListContinue2">
    <w:name w:val="List Continue 2"/>
    <w:basedOn w:val="List2"/>
    <w:rsid w:val="006C3CA4"/>
    <w:pPr>
      <w:ind w:firstLine="0"/>
    </w:pPr>
  </w:style>
  <w:style w:type="paragraph" w:styleId="ListContinue3">
    <w:name w:val="List Continue 3"/>
    <w:basedOn w:val="List3"/>
    <w:rsid w:val="006C3CA4"/>
    <w:pPr>
      <w:ind w:left="1021" w:firstLine="0"/>
    </w:pPr>
  </w:style>
  <w:style w:type="paragraph" w:styleId="ListContinue4">
    <w:name w:val="List Continue 4"/>
    <w:basedOn w:val="List4"/>
    <w:rsid w:val="006C3CA4"/>
    <w:pPr>
      <w:ind w:firstLine="0"/>
    </w:pPr>
  </w:style>
  <w:style w:type="paragraph" w:styleId="ListContinue5">
    <w:name w:val="List Continue 5"/>
    <w:basedOn w:val="List5"/>
    <w:rsid w:val="006C3CA4"/>
    <w:pPr>
      <w:ind w:firstLine="0"/>
    </w:pPr>
  </w:style>
  <w:style w:type="paragraph" w:styleId="ListNumber3">
    <w:name w:val="List Number 3"/>
    <w:basedOn w:val="List3"/>
    <w:rsid w:val="006C3CA4"/>
    <w:pPr>
      <w:numPr>
        <w:numId w:val="5"/>
      </w:numPr>
    </w:pPr>
  </w:style>
  <w:style w:type="paragraph" w:styleId="ListNumber4">
    <w:name w:val="List Number 4"/>
    <w:basedOn w:val="List4"/>
    <w:rsid w:val="006C3CA4"/>
    <w:pPr>
      <w:numPr>
        <w:numId w:val="6"/>
      </w:numPr>
    </w:pPr>
  </w:style>
  <w:style w:type="paragraph" w:styleId="ListNumber5">
    <w:name w:val="List Number 5"/>
    <w:basedOn w:val="List5"/>
    <w:rsid w:val="006C3CA4"/>
    <w:pPr>
      <w:numPr>
        <w:numId w:val="7"/>
      </w:numPr>
    </w:pPr>
  </w:style>
  <w:style w:type="paragraph" w:styleId="BlockText">
    <w:name w:val="Block Text"/>
    <w:basedOn w:val="Normal"/>
    <w:rsid w:val="006C3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CA4"/>
    <w:rPr>
      <w:sz w:val="16"/>
      <w:vertAlign w:val="superscript"/>
    </w:rPr>
  </w:style>
  <w:style w:type="character" w:customStyle="1" w:styleId="Symbols">
    <w:name w:val="Symbols"/>
    <w:basedOn w:val="DefaultParagraphFont"/>
    <w:rsid w:val="006C3CA4"/>
    <w:rPr>
      <w:rFonts w:ascii="Symbol" w:hAnsi="Symbol"/>
    </w:rPr>
  </w:style>
  <w:style w:type="character" w:customStyle="1" w:styleId="MenuOptions">
    <w:name w:val="Menu Options"/>
    <w:basedOn w:val="DefaultParagraphFont"/>
    <w:rsid w:val="006C3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CA4"/>
    <w:rPr>
      <w:b/>
    </w:rPr>
  </w:style>
  <w:style w:type="character" w:customStyle="1" w:styleId="Underlined">
    <w:name w:val="Underlined"/>
    <w:basedOn w:val="DefaultParagraphFont"/>
    <w:rsid w:val="006C3CA4"/>
    <w:rPr>
      <w:u w:val="single"/>
    </w:rPr>
  </w:style>
  <w:style w:type="paragraph" w:customStyle="1" w:styleId="TableBodyTextRight">
    <w:name w:val="Table Body Text Right"/>
    <w:basedOn w:val="TableBodyText"/>
    <w:rsid w:val="006C3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CA4"/>
    <w:rPr>
      <w:sz w:val="18"/>
    </w:rPr>
  </w:style>
  <w:style w:type="paragraph" w:customStyle="1" w:styleId="BodySmallRight">
    <w:name w:val="Body Small Right"/>
    <w:basedOn w:val="BodyTextRight"/>
    <w:rsid w:val="006C3CA4"/>
    <w:rPr>
      <w:sz w:val="18"/>
      <w:szCs w:val="18"/>
    </w:rPr>
  </w:style>
  <w:style w:type="paragraph" w:customStyle="1" w:styleId="MarginEdition">
    <w:name w:val="Margin Edition"/>
    <w:basedOn w:val="MarginNote"/>
    <w:rsid w:val="006C3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CA4"/>
    <w:rPr>
      <w:sz w:val="2"/>
      <w:szCs w:val="2"/>
    </w:rPr>
  </w:style>
  <w:style w:type="character" w:customStyle="1" w:styleId="Small">
    <w:name w:val="Small"/>
    <w:basedOn w:val="DefaultParagraphFont"/>
    <w:rsid w:val="006C3CA4"/>
    <w:rPr>
      <w:sz w:val="16"/>
    </w:rPr>
  </w:style>
  <w:style w:type="paragraph" w:customStyle="1" w:styleId="WideTable">
    <w:name w:val="Wide Table"/>
    <w:basedOn w:val="Normal"/>
    <w:rsid w:val="006C3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CA4"/>
  </w:style>
  <w:style w:type="paragraph" w:styleId="Quote">
    <w:name w:val="Quote"/>
    <w:basedOn w:val="Heading1"/>
    <w:link w:val="QuoteChar"/>
    <w:qFormat/>
    <w:rsid w:val="006C3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CA4"/>
    <w:pPr>
      <w:pageBreakBefore/>
    </w:pPr>
  </w:style>
  <w:style w:type="paragraph" w:customStyle="1" w:styleId="Border">
    <w:name w:val="Border"/>
    <w:basedOn w:val="Normal"/>
    <w:qFormat/>
    <w:rsid w:val="006C3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CA4"/>
    <w:rPr>
      <w:u w:val="single"/>
    </w:rPr>
  </w:style>
  <w:style w:type="character" w:customStyle="1" w:styleId="BoldandItalics">
    <w:name w:val="Bold and Italics"/>
    <w:qFormat/>
    <w:rsid w:val="006C3CA4"/>
    <w:rPr>
      <w:b/>
      <w:i/>
      <w:u w:val="none"/>
    </w:rPr>
  </w:style>
  <w:style w:type="paragraph" w:styleId="BalloonText">
    <w:name w:val="Balloon Text"/>
    <w:basedOn w:val="Normal"/>
    <w:link w:val="BalloonTextChar"/>
    <w:rsid w:val="006C3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CA4"/>
    <w:pPr>
      <w:spacing w:before="0" w:after="0"/>
    </w:pPr>
  </w:style>
  <w:style w:type="paragraph" w:customStyle="1" w:styleId="BodyTextBold">
    <w:name w:val="Body Text Bold"/>
    <w:basedOn w:val="BodyText"/>
    <w:qFormat/>
    <w:rsid w:val="006C3CA4"/>
    <w:rPr>
      <w:b/>
    </w:rPr>
  </w:style>
  <w:style w:type="character" w:styleId="Hyperlink">
    <w:name w:val="Hyperlink"/>
    <w:basedOn w:val="DefaultParagraphFont"/>
    <w:uiPriority w:val="99"/>
    <w:unhideWhenUsed/>
    <w:rsid w:val="002A7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3991</Characters>
  <Application>Microsoft Office Word</Application>
  <DocSecurity>0</DocSecurity>
  <Lines>110</Lines>
  <Paragraphs>92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MSTTD5006 Exhibit textile designs or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2021-07-21T08:07:00Z</dcterms:created>
  <dcterms:modified xsi:type="dcterms:W3CDTF">2021-07-21T08:07:00Z</dcterms:modified>
</cp:coreProperties>
</file>