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2B4D" w:rsidP="001D2B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MSTTD4012 Analyse use of colour in textiles</w:t>
      </w:r>
      <w:r>
        <w:fldChar w:fldCharType="end"/>
      </w:r>
    </w:p>
    <w:p w:rsidR="001D2B4D" w:rsidP="001D2B4D">
      <w:pPr>
        <w:pStyle w:val="Version"/>
        <w:sectPr w:rsidSect="009777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77710" w:rsidP="00977710">
      <w:pPr>
        <w:pStyle w:val="SuperHeading"/>
      </w:pPr>
      <w:r w:rsidRPr="00977710">
        <w:t>MSTTD4012 Analyse use of colour in textiles</w:t>
      </w:r>
    </w:p>
    <w:p w:rsidR="00000000" w:rsidRPr="00977710" w:rsidP="00977710">
      <w:pPr>
        <w:pStyle w:val="Heading1"/>
      </w:pPr>
      <w:bookmarkStart w:id="1" w:name="O_1050273"/>
      <w:bookmarkEnd w:id="1"/>
      <w:r w:rsidRPr="00977710">
        <w:t>Modification History</w:t>
      </w:r>
    </w:p>
    <w:p w:rsidR="00000000" w:rsidRPr="00977710" w:rsidP="001D2B4D">
      <w:pPr>
        <w:pStyle w:val="BodyText"/>
      </w:pPr>
      <w:r w:rsidRPr="00977710">
        <w:t>Release 2. Supersedes and is equivalent to MSTTD4012 Analyse use of colour in textiles (Release 1).</w:t>
      </w:r>
    </w:p>
    <w:p w:rsidR="00000000" w:rsidRPr="00977710" w:rsidP="001D2B4D">
      <w:pPr>
        <w:pStyle w:val="BodyText"/>
      </w:pPr>
      <w:r w:rsidRPr="00977710">
        <w:t>Pre-requisite unit, MSTGN2011 Identify fibres, fabrics and textiles used in the TCF industry, is</w:t>
      </w:r>
      <w:r w:rsidRPr="00977710">
        <w:rPr>
          <w:rStyle w:val="SpecialBold"/>
        </w:rPr>
        <w:t xml:space="preserve"> superseded by</w:t>
      </w:r>
      <w:r w:rsidRPr="00977710">
        <w:t xml:space="preserve"> MSTGN2013 Ident</w:t>
      </w:r>
      <w:r w:rsidRPr="00977710">
        <w:t>ify fibres, fabrics and textiles used in the TCF industry.</w:t>
      </w:r>
    </w:p>
    <w:p w:rsidR="00000000" w:rsidRPr="00977710" w:rsidP="001D2B4D">
      <w:pPr>
        <w:pStyle w:val="BodyText"/>
      </w:pPr>
      <w:r w:rsidRPr="00977710">
        <w:t>Release 1. Supersedes and is equivalent to LMTTD4012A Analyse use of colour in textiles.</w:t>
      </w:r>
    </w:p>
    <w:p w:rsidR="00000000" w:rsidRPr="00977710" w:rsidP="00977710">
      <w:pPr>
        <w:pStyle w:val="Heading1"/>
      </w:pPr>
      <w:bookmarkStart w:id="2" w:name="O_1050272"/>
      <w:bookmarkEnd w:id="2"/>
      <w:r w:rsidRPr="00977710">
        <w:t>Application</w:t>
      </w:r>
    </w:p>
    <w:p w:rsidR="00000000" w:rsidRPr="00977710" w:rsidP="001D2B4D">
      <w:pPr>
        <w:pStyle w:val="BodyText"/>
      </w:pPr>
      <w:r w:rsidRPr="00977710">
        <w:t>This unit of competency covers the skills and knowledge required to analyse a</w:t>
      </w:r>
      <w:r w:rsidRPr="00977710">
        <w:t>nd apply colour theory to the design process for textile products.</w:t>
      </w:r>
    </w:p>
    <w:p w:rsidR="00000000" w:rsidRPr="00977710" w:rsidP="001D2B4D">
      <w:pPr>
        <w:pStyle w:val="BodyText"/>
      </w:pPr>
      <w:r w:rsidRPr="00977710">
        <w:t xml:space="preserve">The unit of competency applies to the analysis of colour theory principles and elements, and experimentation with colour to inform textile design process and produce new colour schemes.   </w:t>
      </w:r>
    </w:p>
    <w:p w:rsidR="00000000" w:rsidRPr="00977710" w:rsidP="001D2B4D">
      <w:pPr>
        <w:pStyle w:val="BodyText"/>
      </w:pPr>
      <w:r w:rsidRPr="00977710">
        <w:t>Work is supervised and may be conducted in small to large scale enterprises and may involve individual and team activities.</w:t>
      </w:r>
    </w:p>
    <w:p w:rsidR="00000000" w:rsidRPr="00977710" w:rsidP="001D2B4D">
      <w:pPr>
        <w:pStyle w:val="BodyText"/>
      </w:pPr>
      <w:r w:rsidRPr="00977710">
        <w:t>No licensing, legislative or certification requirements apply to this unit at the time of publication.</w:t>
      </w:r>
    </w:p>
    <w:p w:rsidR="00000000" w:rsidRPr="00977710" w:rsidP="00977710">
      <w:pPr>
        <w:pStyle w:val="Heading1"/>
      </w:pPr>
      <w:bookmarkStart w:id="3" w:name="O_1050271"/>
      <w:bookmarkEnd w:id="3"/>
      <w:r w:rsidRPr="00977710">
        <w:t>Pre-req</w:t>
      </w:r>
      <w:r w:rsidRPr="00977710">
        <w:t>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5220"/>
      </w:tblGrid>
      <w:tr w:rsidTr="0097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t>MSTGN2013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t>Identify fibres, fabrics and textiles used in the TCF industry</w:t>
            </w:r>
          </w:p>
        </w:tc>
      </w:tr>
      <w:tr w:rsidTr="0097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t>MSTTD4002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710" w:rsidP="00977710">
            <w:pPr>
              <w:pStyle w:val="BodyText"/>
            </w:pPr>
            <w:r w:rsidRPr="00977710">
              <w:t>Prepare stencils and screens for textile printing</w:t>
            </w:r>
          </w:p>
        </w:tc>
      </w:tr>
    </w:tbl>
    <w:p w:rsidR="00000000" w:rsidRPr="00977710" w:rsidP="00977710">
      <w:pPr>
        <w:pStyle w:val="BodyText"/>
      </w:pPr>
    </w:p>
    <w:p w:rsidR="00000000" w:rsidRPr="00977710" w:rsidP="00977710">
      <w:pPr>
        <w:pStyle w:val="AllowPageBreak"/>
      </w:pPr>
    </w:p>
    <w:p w:rsidR="00000000" w:rsidRPr="00977710" w:rsidP="00977710">
      <w:pPr>
        <w:pStyle w:val="Heading1"/>
      </w:pPr>
      <w:bookmarkStart w:id="4" w:name="O_1050270"/>
      <w:bookmarkEnd w:id="4"/>
      <w:r w:rsidRPr="00977710">
        <w:t>Competency Field</w:t>
      </w:r>
    </w:p>
    <w:p w:rsidR="00000000" w:rsidRPr="00977710" w:rsidP="001D2B4D">
      <w:pPr>
        <w:pStyle w:val="BodyText"/>
      </w:pPr>
      <w:r w:rsidRPr="00977710">
        <w:t>Textile design and development</w:t>
      </w:r>
    </w:p>
    <w:p w:rsidR="00000000" w:rsidRPr="00977710" w:rsidP="00977710">
      <w:pPr>
        <w:pStyle w:val="Heading1"/>
      </w:pPr>
      <w:bookmarkStart w:id="5" w:name="O_1050269"/>
      <w:bookmarkEnd w:id="5"/>
      <w:r w:rsidRPr="00977710">
        <w:t>Unit Sector</w:t>
      </w:r>
    </w:p>
    <w:p w:rsidR="00000000" w:rsidRPr="00977710" w:rsidP="001D2B4D">
      <w:pPr>
        <w:pStyle w:val="BodyText"/>
      </w:pPr>
      <w:r w:rsidRPr="00977710">
        <w:t>Not applicable</w:t>
      </w:r>
    </w:p>
    <w:p w:rsidR="00000000" w:rsidRPr="00977710" w:rsidP="00977710">
      <w:pPr>
        <w:pStyle w:val="Heading1"/>
      </w:pPr>
      <w:bookmarkStart w:id="6" w:name="O_1050268"/>
      <w:bookmarkEnd w:id="6"/>
      <w:r w:rsidRPr="0097771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7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t>Performance criteria describe the performance needed to demonstrate achievement of the element.</w:t>
            </w:r>
          </w:p>
        </w:tc>
      </w:tr>
      <w:tr w:rsidTr="0097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710" w:rsidP="00977710">
            <w:pPr>
              <w:pStyle w:val="BodyText"/>
            </w:pPr>
            <w:r w:rsidRPr="0097771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710" w:rsidP="00977710">
            <w:pPr>
              <w:pStyle w:val="BodyText"/>
            </w:pPr>
            <w:r w:rsidRPr="00977710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t>Follow standard operating procedures (SOPs)</w:t>
            </w:r>
          </w:p>
        </w:tc>
      </w:tr>
      <w:tr w:rsidTr="0097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t>Comply with work health and safety (WHS) requirements at all times</w:t>
            </w:r>
          </w:p>
        </w:tc>
      </w:tr>
      <w:tr w:rsidTr="0097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t>Use appropriate personal protective equipment (PPE) in accordance with SOPs</w:t>
            </w:r>
          </w:p>
        </w:tc>
      </w:tr>
      <w:tr w:rsidTr="0097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t>Identify job requirements from specifications, drawings, job sheets or work instructions</w:t>
            </w:r>
          </w:p>
        </w:tc>
      </w:tr>
      <w:tr w:rsidTr="0097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</w:p>
        </w:tc>
      </w:tr>
      <w:tr w:rsidTr="0097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710" w:rsidP="00977710">
            <w:pPr>
              <w:pStyle w:val="BodyText"/>
            </w:pPr>
            <w:r w:rsidRPr="0097771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rPr>
                <w:rStyle w:val="SpecialBold"/>
              </w:rPr>
              <w:t xml:space="preserve">Prepare to analyse use of colour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t>Examine effects of colour dimensions</w:t>
            </w:r>
          </w:p>
        </w:tc>
      </w:tr>
      <w:tr w:rsidTr="0097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t>Identify relationship of colour theory to textile design process</w:t>
            </w:r>
          </w:p>
        </w:tc>
      </w:tr>
      <w:tr w:rsidTr="0097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t>Analyse visual or optical effects of colour</w:t>
            </w:r>
          </w:p>
        </w:tc>
      </w:tr>
      <w:tr w:rsidTr="0097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t>Collect and compare samples of textile products that demonstrate different visual effects, and apply workplace procedures</w:t>
            </w:r>
          </w:p>
        </w:tc>
      </w:tr>
      <w:tr w:rsidTr="0097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t>Analyse effects of colour used in textiles</w:t>
            </w:r>
          </w:p>
        </w:tc>
      </w:tr>
      <w:tr w:rsidTr="0097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</w:p>
        </w:tc>
      </w:tr>
      <w:tr w:rsidTr="0097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710" w:rsidP="00977710">
            <w:pPr>
              <w:pStyle w:val="BodyText"/>
            </w:pPr>
            <w:r w:rsidRPr="0097771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rPr>
                <w:rStyle w:val="SpecialBold"/>
              </w:rPr>
              <w:t>Analyse suitable colour combinations to use in textile design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t>Develop colour combinations using computer software or manual processes</w:t>
            </w:r>
          </w:p>
        </w:tc>
      </w:tr>
      <w:tr w:rsidTr="0097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t>Use colour wheel and colour charts to assist colour investigations</w:t>
            </w:r>
          </w:p>
        </w:tc>
      </w:tr>
      <w:tr w:rsidTr="0097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t>Identify and illustrate new colour schemes</w:t>
            </w:r>
          </w:p>
        </w:tc>
      </w:tr>
      <w:tr w:rsidTr="0097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</w:p>
        </w:tc>
      </w:tr>
      <w:tr w:rsidTr="0097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710" w:rsidP="00977710">
            <w:pPr>
              <w:pStyle w:val="BodyText"/>
            </w:pPr>
            <w:r w:rsidRPr="00977710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rPr>
                <w:rStyle w:val="SpecialBold"/>
              </w:rPr>
              <w:t xml:space="preserve">Explore colour in </w:t>
            </w:r>
            <w:r w:rsidRPr="00977710">
              <w:rPr>
                <w:rStyle w:val="SpecialBold"/>
              </w:rPr>
              <w:t>textile design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t>Identify different colour uses and compare for impact</w:t>
            </w:r>
          </w:p>
        </w:tc>
      </w:tr>
      <w:tr w:rsidTr="0097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t>Investigate colour forecasting options</w:t>
            </w:r>
          </w:p>
        </w:tc>
      </w:tr>
      <w:tr w:rsidTr="0097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710" w:rsidP="00977710">
            <w:pPr>
              <w:pStyle w:val="BodyText"/>
            </w:pPr>
            <w:r w:rsidRPr="00977710">
              <w:t>Document colour investigations for future reference</w:t>
            </w:r>
          </w:p>
        </w:tc>
      </w:tr>
    </w:tbl>
    <w:p w:rsidR="00000000" w:rsidRPr="00977710" w:rsidP="00977710">
      <w:pPr>
        <w:pStyle w:val="BodyText"/>
      </w:pPr>
    </w:p>
    <w:p w:rsidR="00000000" w:rsidRPr="00977710" w:rsidP="00977710">
      <w:pPr>
        <w:pStyle w:val="AllowPageBreak"/>
      </w:pPr>
    </w:p>
    <w:p w:rsidR="00000000" w:rsidRPr="00977710" w:rsidP="00977710">
      <w:pPr>
        <w:pStyle w:val="Heading1"/>
      </w:pPr>
      <w:bookmarkStart w:id="7" w:name="O_1050267"/>
      <w:bookmarkEnd w:id="7"/>
      <w:r w:rsidRPr="00977710">
        <w:t>Foundation Skills</w:t>
      </w:r>
    </w:p>
    <w:p w:rsidR="00000000" w:rsidRPr="00977710" w:rsidP="001D2B4D">
      <w:pPr>
        <w:pStyle w:val="BodyText"/>
      </w:pPr>
      <w:r w:rsidRPr="00977710">
        <w:t>This section describes those required skills (language, literacy and numeracy) that are essential to performance.</w:t>
      </w:r>
    </w:p>
    <w:p w:rsidR="00000000" w:rsidRPr="00977710" w:rsidP="001D2B4D">
      <w:pPr>
        <w:pStyle w:val="BodyText"/>
      </w:pPr>
      <w:r w:rsidRPr="00977710">
        <w:t>Foundation skills essential to performance are explicit in the performance criteria of this unit of compe</w:t>
      </w:r>
      <w:r w:rsidRPr="00977710">
        <w:t>tency.</w:t>
      </w:r>
    </w:p>
    <w:p w:rsidR="00000000" w:rsidRPr="00977710" w:rsidP="00977710">
      <w:pPr>
        <w:pStyle w:val="Heading1"/>
      </w:pPr>
      <w:bookmarkStart w:id="8" w:name="O_1050266"/>
      <w:bookmarkEnd w:id="8"/>
      <w:r w:rsidRPr="00977710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1D2B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710">
            <w:pPr>
              <w:pStyle w:val="BodyText"/>
              <w:rPr>
                <w:lang w:val="en-NZ"/>
              </w:rPr>
            </w:pPr>
            <w:r w:rsidRPr="00977710">
              <w:t>This field allows for different work environments and conditions that may affect performance. Essential operating conditions that may be present (depending on the work situation, needs of the candidate, accessi</w:t>
            </w:r>
            <w:r w:rsidRPr="00977710">
              <w:t>bility of the item, and local industry and regional contexts) are included.</w:t>
            </w:r>
          </w:p>
        </w:tc>
      </w:tr>
      <w:tr w:rsidTr="001D2B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710" w:rsidP="00977710">
            <w:pPr>
              <w:pStyle w:val="BodyText"/>
            </w:pPr>
            <w:r w:rsidRPr="00977710">
              <w:rPr>
                <w:rStyle w:val="SpecialBold"/>
              </w:rPr>
              <w:t>Workplace procedures include one or more of the following:</w:t>
            </w:r>
          </w:p>
          <w:p w:rsidR="00000000" w:rsidRPr="00977710" w:rsidP="00977710">
            <w:pPr>
              <w:pStyle w:val="BodyText"/>
            </w:pPr>
          </w:p>
          <w:p w:rsidR="00000000" w:rsidP="00977710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710" w:rsidP="00977710">
            <w:pPr>
              <w:pStyle w:val="ListBullet"/>
            </w:pPr>
            <w:r w:rsidRPr="00977710">
              <w:t>requirements prescribed by legislation, awards, agreements and conditions of employment</w:t>
            </w:r>
          </w:p>
          <w:p w:rsidR="00000000" w:rsidRPr="00977710" w:rsidP="00977710">
            <w:pPr>
              <w:pStyle w:val="ListBullet"/>
            </w:pPr>
            <w:r w:rsidRPr="00977710">
              <w:t>SOPs</w:t>
            </w:r>
          </w:p>
          <w:p w:rsidR="00000000" w:rsidRPr="00977710" w:rsidP="00977710">
            <w:pPr>
              <w:pStyle w:val="ListBullet"/>
            </w:pPr>
            <w:r w:rsidRPr="00977710">
              <w:t>work instructions</w:t>
            </w:r>
          </w:p>
          <w:p w:rsidR="00000000" w:rsidRPr="00977710" w:rsidP="00977710">
            <w:pPr>
              <w:pStyle w:val="ListBullet"/>
            </w:pPr>
            <w:r w:rsidRPr="00977710">
              <w:t>PPE</w:t>
            </w:r>
          </w:p>
          <w:p w:rsidR="00000000" w:rsidRPr="00977710" w:rsidP="00977710">
            <w:pPr>
              <w:pStyle w:val="ListBullet"/>
            </w:pPr>
            <w:r w:rsidRPr="00977710">
              <w:t>oral, written and visual communication</w:t>
            </w:r>
          </w:p>
          <w:p w:rsidR="00000000" w:rsidRPr="00977710" w:rsidP="00977710">
            <w:pPr>
              <w:pStyle w:val="ListBullet"/>
            </w:pPr>
            <w:r w:rsidRPr="00977710">
              <w:t>quality practices, including responsibility for maintenance of own work quality and contribution to quality improvement of team or section output</w:t>
            </w:r>
          </w:p>
          <w:p w:rsidR="00000000" w:rsidRPr="00977710" w:rsidP="00977710">
            <w:pPr>
              <w:pStyle w:val="ListBullet"/>
            </w:pPr>
            <w:r w:rsidRPr="00977710">
              <w:t>housekeeping</w:t>
            </w:r>
          </w:p>
          <w:p w:rsidR="00000000" w:rsidRPr="00977710" w:rsidP="00977710">
            <w:pPr>
              <w:pStyle w:val="ListBullet"/>
            </w:pPr>
            <w:r w:rsidRPr="00977710">
              <w:t>tasks related to environmental protection, waste disposal,</w:t>
            </w:r>
            <w:r w:rsidRPr="00977710">
              <w:t xml:space="preserve"> pollution control and recycling</w:t>
            </w:r>
          </w:p>
          <w:p w:rsidR="00000000" w:rsidRPr="00977710" w:rsidP="00977710">
            <w:pPr>
              <w:pStyle w:val="ListBullet"/>
            </w:pPr>
            <w:r w:rsidRPr="00977710">
              <w:t>WHS practices</w:t>
            </w:r>
          </w:p>
          <w:p w:rsidR="00000000" w:rsidP="00977710">
            <w:pPr>
              <w:pStyle w:val="BodyText"/>
              <w:rPr>
                <w:lang w:val="en-NZ"/>
              </w:rPr>
            </w:pPr>
          </w:p>
        </w:tc>
      </w:tr>
      <w:tr w:rsidTr="001D2B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710" w:rsidP="00977710">
            <w:pPr>
              <w:pStyle w:val="BodyText"/>
            </w:pPr>
            <w:r w:rsidRPr="00977710">
              <w:rPr>
                <w:rStyle w:val="SpecialBold"/>
              </w:rPr>
              <w:t>Dimensions of colour include the following:</w:t>
            </w:r>
          </w:p>
          <w:p w:rsidR="00000000" w:rsidP="00977710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710" w:rsidP="00977710">
            <w:pPr>
              <w:pStyle w:val="ListBullet"/>
            </w:pPr>
            <w:r w:rsidRPr="00977710">
              <w:t>value or tone</w:t>
            </w:r>
          </w:p>
          <w:p w:rsidR="00000000" w:rsidRPr="00977710" w:rsidP="00977710">
            <w:pPr>
              <w:pStyle w:val="ListBullet"/>
            </w:pPr>
            <w:r w:rsidRPr="00977710">
              <w:t>hue</w:t>
            </w:r>
          </w:p>
          <w:p w:rsidR="00000000" w:rsidRPr="00977710" w:rsidP="00977710">
            <w:pPr>
              <w:pStyle w:val="ListBullet"/>
            </w:pPr>
            <w:r w:rsidRPr="00977710">
              <w:t>chroma/ intensity/ clarity/saturation</w:t>
            </w:r>
          </w:p>
          <w:p w:rsidR="00000000" w:rsidP="00977710">
            <w:pPr>
              <w:pStyle w:val="BodyText"/>
              <w:rPr>
                <w:lang w:val="en-NZ"/>
              </w:rPr>
            </w:pPr>
          </w:p>
        </w:tc>
      </w:tr>
      <w:tr w:rsidTr="001D2B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710" w:rsidP="00977710">
            <w:pPr>
              <w:pStyle w:val="BodyText"/>
            </w:pPr>
            <w:r w:rsidRPr="00977710">
              <w:rPr>
                <w:rStyle w:val="SpecialBold"/>
              </w:rPr>
              <w:t>Visual or optical effects include two or more of the following:</w:t>
            </w:r>
          </w:p>
          <w:p w:rsidR="00000000" w:rsidP="00977710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710" w:rsidP="00977710">
            <w:pPr>
              <w:pStyle w:val="ListBullet"/>
            </w:pPr>
            <w:r w:rsidRPr="00977710">
              <w:t>size</w:t>
            </w:r>
          </w:p>
          <w:p w:rsidR="00000000" w:rsidRPr="00977710" w:rsidP="00977710">
            <w:pPr>
              <w:pStyle w:val="ListBullet"/>
            </w:pPr>
            <w:r w:rsidRPr="00977710">
              <w:t>density</w:t>
            </w:r>
          </w:p>
          <w:p w:rsidR="00000000" w:rsidRPr="00977710" w:rsidP="00977710">
            <w:pPr>
              <w:pStyle w:val="ListBullet"/>
            </w:pPr>
            <w:r w:rsidRPr="00977710">
              <w:t>value</w:t>
            </w:r>
          </w:p>
          <w:p w:rsidR="00000000" w:rsidRPr="00977710" w:rsidP="00977710">
            <w:pPr>
              <w:pStyle w:val="ListBullet"/>
            </w:pPr>
            <w:r w:rsidRPr="00977710">
              <w:t>visual mixing</w:t>
            </w:r>
          </w:p>
          <w:p w:rsidR="00000000" w:rsidRPr="00977710" w:rsidP="00977710">
            <w:pPr>
              <w:pStyle w:val="ListBullet"/>
            </w:pPr>
            <w:r w:rsidRPr="00977710">
              <w:t>simultaneous contrast</w:t>
            </w:r>
          </w:p>
          <w:p w:rsidR="00000000" w:rsidRPr="00977710" w:rsidP="00977710">
            <w:pPr>
              <w:pStyle w:val="ListBullet"/>
            </w:pPr>
            <w:r w:rsidRPr="00977710">
              <w:t>motion</w:t>
            </w:r>
          </w:p>
          <w:p w:rsidR="00000000" w:rsidRPr="00977710" w:rsidP="00977710">
            <w:pPr>
              <w:pStyle w:val="ListBullet"/>
            </w:pPr>
            <w:r w:rsidRPr="00977710">
              <w:t>texture</w:t>
            </w:r>
          </w:p>
          <w:p w:rsidR="00000000" w:rsidP="00977710">
            <w:pPr>
              <w:pStyle w:val="BodyText"/>
              <w:rPr>
                <w:lang w:val="en-NZ"/>
              </w:rPr>
            </w:pPr>
          </w:p>
        </w:tc>
      </w:tr>
      <w:tr w:rsidTr="001D2B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710" w:rsidP="00977710">
            <w:pPr>
              <w:pStyle w:val="BodyText"/>
            </w:pPr>
            <w:r w:rsidRPr="00977710">
              <w:rPr>
                <w:rStyle w:val="SpecialBold"/>
              </w:rPr>
              <w:t>Colour combinations include two or more of the following:</w:t>
            </w:r>
          </w:p>
          <w:p w:rsidR="00000000" w:rsidP="00977710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710" w:rsidP="00977710">
            <w:pPr>
              <w:pStyle w:val="ListBullet"/>
            </w:pPr>
            <w:r w:rsidRPr="00977710">
              <w:t>complementary or contrasting</w:t>
            </w:r>
          </w:p>
          <w:p w:rsidR="00000000" w:rsidRPr="00977710" w:rsidP="00977710">
            <w:pPr>
              <w:pStyle w:val="ListBullet"/>
            </w:pPr>
            <w:r w:rsidRPr="00977710">
              <w:t>analogous or harmonious</w:t>
            </w:r>
          </w:p>
          <w:p w:rsidR="00000000" w:rsidRPr="00977710" w:rsidP="00977710">
            <w:pPr>
              <w:pStyle w:val="ListBullet"/>
            </w:pPr>
            <w:r w:rsidRPr="00977710">
              <w:t>triad</w:t>
            </w:r>
          </w:p>
          <w:p w:rsidR="00000000" w:rsidRPr="00977710" w:rsidP="00977710">
            <w:pPr>
              <w:pStyle w:val="ListBullet"/>
            </w:pPr>
            <w:r w:rsidRPr="00977710">
              <w:t>monochromatic</w:t>
            </w:r>
          </w:p>
        </w:tc>
      </w:tr>
    </w:tbl>
    <w:p w:rsidR="00000000" w:rsidRPr="00977710" w:rsidP="00977710">
      <w:pPr>
        <w:pStyle w:val="BodyText"/>
      </w:pPr>
    </w:p>
    <w:p w:rsidR="00000000" w:rsidRPr="00977710" w:rsidP="00977710">
      <w:pPr>
        <w:pStyle w:val="AllowPageBreak"/>
      </w:pPr>
    </w:p>
    <w:p w:rsidR="00000000" w:rsidRPr="00977710" w:rsidP="00977710">
      <w:pPr>
        <w:pStyle w:val="Heading1"/>
      </w:pPr>
      <w:bookmarkStart w:id="9" w:name="O_1050265"/>
      <w:bookmarkEnd w:id="9"/>
      <w:r w:rsidRPr="00977710">
        <w:t>Unit Mapping Information</w:t>
      </w:r>
    </w:p>
    <w:p w:rsidR="00000000" w:rsidRPr="00977710" w:rsidP="001D2B4D">
      <w:pPr>
        <w:pStyle w:val="BodyText"/>
      </w:pPr>
      <w:r w:rsidRPr="00977710">
        <w:t>Release 2. Supersedes and is equivalent to MSTTD4012 Analyse use of colour in textiles (Release 1).</w:t>
      </w:r>
    </w:p>
    <w:p w:rsidR="00000000" w:rsidRPr="00977710" w:rsidP="001D2B4D">
      <w:pPr>
        <w:pStyle w:val="BodyText"/>
      </w:pPr>
      <w:r w:rsidRPr="00977710">
        <w:t>Release 1. Supersedes and is equivalent to LMTTD4012A Analyse use of colour in textiles.</w:t>
      </w:r>
    </w:p>
    <w:p w:rsidR="00000000" w:rsidRPr="00977710" w:rsidP="00977710">
      <w:pPr>
        <w:pStyle w:val="Heading1"/>
      </w:pPr>
      <w:bookmarkStart w:id="10" w:name="O_1050274"/>
      <w:bookmarkEnd w:id="10"/>
      <w:r w:rsidRPr="00977710">
        <w:t>Links</w:t>
      </w:r>
    </w:p>
    <w:p w:rsidR="00000000" w:rsidRPr="00977710" w:rsidP="001D2B4D">
      <w:pPr>
        <w:pStyle w:val="BodyText"/>
      </w:pPr>
      <w:r w:rsidRPr="009777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8567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77710" w:rsidP="00977710"/>
    <w:sectPr w:rsidSect="009777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7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710" w:rsidRPr="001D2B4D" w:rsidP="001D2B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7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B4D" w:rsidP="009777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2B4D" w:rsidP="009777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D2B4D" w:rsidP="009777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7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B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7710" w:rsidRPr="001D2B4D" w:rsidP="001D2B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7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B4D" w:rsidRPr="002D2AF8" w:rsidP="009777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MSTTD4012 Analyse use of colour in textiles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D2B4D" w:rsidP="009777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E490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C092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7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77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77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77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77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77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77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77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77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77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77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7710"/>
  </w:style>
  <w:style w:type="character" w:customStyle="1" w:styleId="Heading1Char">
    <w:name w:val="Heading 1 Char"/>
    <w:basedOn w:val="DefaultParagraphFont"/>
    <w:link w:val="Heading1"/>
    <w:rsid w:val="009777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77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77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77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7710"/>
    <w:rPr>
      <w:b/>
      <w:spacing w:val="0"/>
    </w:rPr>
  </w:style>
  <w:style w:type="paragraph" w:customStyle="1" w:styleId="SuperHeading">
    <w:name w:val="SuperHeading"/>
    <w:basedOn w:val="Normal"/>
    <w:rsid w:val="009777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77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77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77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77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77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77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77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77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77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77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77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77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77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77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77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77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77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77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77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77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77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77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77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77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77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77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77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77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77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77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77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77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77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77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7710"/>
    <w:rPr>
      <w:i/>
    </w:rPr>
  </w:style>
  <w:style w:type="paragraph" w:styleId="Caption">
    <w:name w:val="caption"/>
    <w:basedOn w:val="BodyText"/>
    <w:next w:val="Normal"/>
    <w:qFormat/>
    <w:rsid w:val="009777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77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77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7710"/>
  </w:style>
  <w:style w:type="paragraph" w:styleId="TableofFigures">
    <w:name w:val="table of figures"/>
    <w:basedOn w:val="Normal"/>
    <w:next w:val="Normal"/>
    <w:semiHidden/>
    <w:rsid w:val="009777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77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7710"/>
    <w:rPr>
      <w:rFonts w:ascii="Wingdings" w:hAnsi="Wingdings"/>
    </w:rPr>
  </w:style>
  <w:style w:type="paragraph" w:customStyle="1" w:styleId="TableHeading">
    <w:name w:val="Table Heading"/>
    <w:basedOn w:val="HeadingBase"/>
    <w:rsid w:val="009777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7710"/>
    <w:rPr>
      <w:color w:val="0033CC"/>
      <w:u w:val="none"/>
    </w:rPr>
  </w:style>
  <w:style w:type="paragraph" w:customStyle="1" w:styleId="BodyTextRight">
    <w:name w:val="Body Text Right"/>
    <w:basedOn w:val="BodyText"/>
    <w:rsid w:val="009777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77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77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77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77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77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7710"/>
    <w:rPr>
      <w:sz w:val="32"/>
    </w:rPr>
  </w:style>
  <w:style w:type="paragraph" w:customStyle="1" w:styleId="HeadingProcedure">
    <w:name w:val="Heading Procedure"/>
    <w:basedOn w:val="HeadingBase"/>
    <w:next w:val="Normal"/>
    <w:rsid w:val="009777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7710"/>
    <w:pPr>
      <w:spacing w:before="60" w:after="60"/>
    </w:pPr>
  </w:style>
  <w:style w:type="paragraph" w:styleId="ListContinue">
    <w:name w:val="List Continue"/>
    <w:basedOn w:val="List"/>
    <w:rsid w:val="00977710"/>
    <w:pPr>
      <w:ind w:firstLine="0"/>
    </w:pPr>
  </w:style>
  <w:style w:type="paragraph" w:customStyle="1" w:styleId="ListNote">
    <w:name w:val="List Note"/>
    <w:basedOn w:val="List"/>
    <w:rsid w:val="009777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77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77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7710"/>
    <w:rPr>
      <w:rFonts w:ascii="Courier New" w:hAnsi="Courier New"/>
    </w:rPr>
  </w:style>
  <w:style w:type="paragraph" w:customStyle="1" w:styleId="NoteBullet">
    <w:name w:val="Note Bullet"/>
    <w:basedOn w:val="Note"/>
    <w:rsid w:val="009777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77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77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77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77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77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77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7710"/>
    <w:rPr>
      <w:b/>
      <w:smallCaps/>
    </w:rPr>
  </w:style>
  <w:style w:type="paragraph" w:customStyle="1" w:styleId="TableListNumber">
    <w:name w:val="Table List Number"/>
    <w:basedOn w:val="ListNumber"/>
    <w:rsid w:val="009777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77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7710"/>
    <w:pPr>
      <w:numPr>
        <w:numId w:val="8"/>
      </w:numPr>
    </w:pPr>
  </w:style>
  <w:style w:type="paragraph" w:customStyle="1" w:styleId="ListAlpha2">
    <w:name w:val="List Alpha 2"/>
    <w:basedOn w:val="List2"/>
    <w:rsid w:val="00977710"/>
    <w:pPr>
      <w:numPr>
        <w:numId w:val="7"/>
      </w:numPr>
    </w:pPr>
  </w:style>
  <w:style w:type="paragraph" w:styleId="List2">
    <w:name w:val="List 2"/>
    <w:basedOn w:val="BodyText"/>
    <w:rsid w:val="009777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77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77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77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77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77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7710"/>
    <w:pPr>
      <w:numPr>
        <w:numId w:val="3"/>
      </w:numPr>
    </w:pPr>
  </w:style>
  <w:style w:type="paragraph" w:styleId="ListContinue2">
    <w:name w:val="List Continue 2"/>
    <w:basedOn w:val="List2"/>
    <w:rsid w:val="00977710"/>
    <w:pPr>
      <w:ind w:firstLine="0"/>
    </w:pPr>
  </w:style>
  <w:style w:type="paragraph" w:styleId="ListContinue3">
    <w:name w:val="List Continue 3"/>
    <w:basedOn w:val="List3"/>
    <w:rsid w:val="00977710"/>
    <w:pPr>
      <w:ind w:left="1021" w:firstLine="0"/>
    </w:pPr>
  </w:style>
  <w:style w:type="paragraph" w:styleId="ListContinue4">
    <w:name w:val="List Continue 4"/>
    <w:basedOn w:val="List4"/>
    <w:rsid w:val="00977710"/>
    <w:pPr>
      <w:ind w:firstLine="0"/>
    </w:pPr>
  </w:style>
  <w:style w:type="paragraph" w:styleId="ListContinue5">
    <w:name w:val="List Continue 5"/>
    <w:basedOn w:val="List5"/>
    <w:rsid w:val="00977710"/>
    <w:pPr>
      <w:ind w:firstLine="0"/>
    </w:pPr>
  </w:style>
  <w:style w:type="paragraph" w:styleId="ListNumber3">
    <w:name w:val="List Number 3"/>
    <w:basedOn w:val="List3"/>
    <w:rsid w:val="00977710"/>
    <w:pPr>
      <w:numPr>
        <w:numId w:val="4"/>
      </w:numPr>
    </w:pPr>
  </w:style>
  <w:style w:type="paragraph" w:styleId="ListNumber4">
    <w:name w:val="List Number 4"/>
    <w:basedOn w:val="List4"/>
    <w:rsid w:val="00977710"/>
    <w:pPr>
      <w:numPr>
        <w:numId w:val="5"/>
      </w:numPr>
    </w:pPr>
  </w:style>
  <w:style w:type="paragraph" w:styleId="ListNumber5">
    <w:name w:val="List Number 5"/>
    <w:basedOn w:val="List5"/>
    <w:rsid w:val="00977710"/>
    <w:pPr>
      <w:numPr>
        <w:numId w:val="6"/>
      </w:numPr>
    </w:pPr>
  </w:style>
  <w:style w:type="paragraph" w:styleId="BlockText">
    <w:name w:val="Block Text"/>
    <w:basedOn w:val="Normal"/>
    <w:rsid w:val="009777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77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7710"/>
    <w:rPr>
      <w:sz w:val="16"/>
      <w:vertAlign w:val="superscript"/>
    </w:rPr>
  </w:style>
  <w:style w:type="character" w:customStyle="1" w:styleId="Symbols">
    <w:name w:val="Symbols"/>
    <w:basedOn w:val="DefaultParagraphFont"/>
    <w:rsid w:val="00977710"/>
    <w:rPr>
      <w:rFonts w:ascii="Symbol" w:hAnsi="Symbol"/>
    </w:rPr>
  </w:style>
  <w:style w:type="character" w:customStyle="1" w:styleId="MenuOptions">
    <w:name w:val="Menu Options"/>
    <w:basedOn w:val="DefaultParagraphFont"/>
    <w:rsid w:val="009777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7710"/>
    <w:rPr>
      <w:b/>
    </w:rPr>
  </w:style>
  <w:style w:type="character" w:customStyle="1" w:styleId="Underlined">
    <w:name w:val="Underlined"/>
    <w:basedOn w:val="DefaultParagraphFont"/>
    <w:rsid w:val="00977710"/>
    <w:rPr>
      <w:u w:val="single"/>
    </w:rPr>
  </w:style>
  <w:style w:type="paragraph" w:customStyle="1" w:styleId="TableBodyTextRight">
    <w:name w:val="Table Body Text Right"/>
    <w:basedOn w:val="TableBodyText"/>
    <w:rsid w:val="009777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7710"/>
    <w:rPr>
      <w:sz w:val="18"/>
    </w:rPr>
  </w:style>
  <w:style w:type="paragraph" w:customStyle="1" w:styleId="BodySmallRight">
    <w:name w:val="Body Small Right"/>
    <w:basedOn w:val="BodyTextRight"/>
    <w:rsid w:val="00977710"/>
    <w:rPr>
      <w:sz w:val="18"/>
      <w:szCs w:val="18"/>
    </w:rPr>
  </w:style>
  <w:style w:type="paragraph" w:customStyle="1" w:styleId="MarginEdition">
    <w:name w:val="Margin Edition"/>
    <w:basedOn w:val="MarginNote"/>
    <w:rsid w:val="009777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7710"/>
    <w:rPr>
      <w:sz w:val="2"/>
      <w:szCs w:val="2"/>
    </w:rPr>
  </w:style>
  <w:style w:type="character" w:customStyle="1" w:styleId="Small">
    <w:name w:val="Small"/>
    <w:basedOn w:val="DefaultParagraphFont"/>
    <w:rsid w:val="00977710"/>
    <w:rPr>
      <w:sz w:val="16"/>
    </w:rPr>
  </w:style>
  <w:style w:type="paragraph" w:customStyle="1" w:styleId="WideTable">
    <w:name w:val="Wide Table"/>
    <w:basedOn w:val="Normal"/>
    <w:rsid w:val="009777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7710"/>
  </w:style>
  <w:style w:type="paragraph" w:styleId="Quote">
    <w:name w:val="Quote"/>
    <w:basedOn w:val="Heading1"/>
    <w:link w:val="QuoteChar"/>
    <w:qFormat/>
    <w:rsid w:val="009777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77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7710"/>
    <w:pPr>
      <w:pageBreakBefore/>
    </w:pPr>
  </w:style>
  <w:style w:type="paragraph" w:customStyle="1" w:styleId="Border">
    <w:name w:val="Border"/>
    <w:basedOn w:val="Normal"/>
    <w:qFormat/>
    <w:rsid w:val="009777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77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7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7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77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77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77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77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77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7710"/>
    <w:rPr>
      <w:u w:val="single"/>
    </w:rPr>
  </w:style>
  <w:style w:type="character" w:customStyle="1" w:styleId="BoldandItalics">
    <w:name w:val="Bold and Italics"/>
    <w:qFormat/>
    <w:rsid w:val="00977710"/>
    <w:rPr>
      <w:b/>
      <w:i/>
      <w:u w:val="none"/>
    </w:rPr>
  </w:style>
  <w:style w:type="paragraph" w:styleId="BalloonText">
    <w:name w:val="Balloon Text"/>
    <w:basedOn w:val="Normal"/>
    <w:link w:val="BalloonTextChar"/>
    <w:rsid w:val="009777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77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77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77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77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77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7710"/>
    <w:pPr>
      <w:spacing w:before="0" w:after="0"/>
    </w:pPr>
  </w:style>
  <w:style w:type="paragraph" w:customStyle="1" w:styleId="BodyTextBold">
    <w:name w:val="Body Text Bold"/>
    <w:basedOn w:val="BodyText"/>
    <w:qFormat/>
    <w:rsid w:val="00977710"/>
    <w:rPr>
      <w:b/>
    </w:rPr>
  </w:style>
  <w:style w:type="character" w:styleId="Hyperlink">
    <w:name w:val="Hyperlink"/>
    <w:basedOn w:val="DefaultParagraphFont"/>
    <w:uiPriority w:val="99"/>
    <w:unhideWhenUsed/>
    <w:rsid w:val="001D2B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3955</Characters>
  <Application>Microsoft Office Word</Application>
  <DocSecurity>0</DocSecurity>
  <Lines>219</Lines>
  <Paragraphs>117</Paragraphs>
  <ScaleCrop>false</ScaleCrop>
  <Company>Author-it Software Corporation Ltd.</Company>
  <LinksUpToDate>false</LinksUpToDate>
  <CharactersWithSpaces>4482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MSTTD4012 Analyse use of colour in textiles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2022-10-19T12:36:00Z</dcterms:created>
  <dcterms:modified xsi:type="dcterms:W3CDTF">2022-10-19T12:36:00Z</dcterms:modified>
</cp:coreProperties>
</file>