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771" w:rsidP="00F00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MSTTD4002 Prepare stencils and screens for textile printing</w:t>
      </w:r>
      <w:r>
        <w:fldChar w:fldCharType="end"/>
      </w:r>
    </w:p>
    <w:p w:rsidR="00F00771" w:rsidP="00F00771">
      <w:pPr>
        <w:pStyle w:val="Version"/>
        <w:sectPr w:rsidSect="00DE0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FB3" w:rsidP="00DE0FB3">
      <w:pPr>
        <w:pStyle w:val="SuperHeading"/>
      </w:pPr>
      <w:r w:rsidRPr="00DE0FB3">
        <w:t>MSTTD4002 Prepare stencils and screens for textile printing</w:t>
      </w:r>
    </w:p>
    <w:p w:rsidR="00000000" w:rsidRPr="00DE0FB3" w:rsidP="00DE0FB3">
      <w:pPr>
        <w:pStyle w:val="Heading1"/>
      </w:pPr>
      <w:bookmarkStart w:id="1" w:name="O_933301"/>
      <w:bookmarkEnd w:id="1"/>
      <w:r w:rsidRPr="00DE0FB3">
        <w:t>Modification History</w:t>
      </w:r>
    </w:p>
    <w:p w:rsidR="00000000" w:rsidRPr="00DE0FB3" w:rsidP="00F00771">
      <w:pPr>
        <w:pStyle w:val="BodyText"/>
      </w:pPr>
      <w:r w:rsidRPr="00DE0FB3">
        <w:t>Release 1. Supersedes and is equivalent to LMTTD4013A Prepare stencils and screens for textile printing</w:t>
      </w:r>
    </w:p>
    <w:p w:rsidR="00000000" w:rsidRPr="00DE0FB3" w:rsidP="00DE0FB3">
      <w:pPr>
        <w:pStyle w:val="Heading1"/>
      </w:pPr>
      <w:bookmarkStart w:id="2" w:name="O_933309"/>
      <w:bookmarkEnd w:id="2"/>
      <w:r w:rsidRPr="00DE0FB3">
        <w:t>Application</w:t>
      </w:r>
    </w:p>
    <w:p w:rsidR="00000000" w:rsidRPr="00DE0FB3" w:rsidP="00F00771">
      <w:pPr>
        <w:pStyle w:val="BodyText"/>
      </w:pPr>
      <w:r w:rsidRPr="00DE0FB3">
        <w:t>This unit of competency covers the skills and knowledge required to prepare screen pri</w:t>
      </w:r>
      <w:r w:rsidRPr="00DE0FB3">
        <w:t xml:space="preserve">nt design samples for textiles. </w:t>
      </w:r>
    </w:p>
    <w:p w:rsidR="00000000" w:rsidRPr="00DE0FB3" w:rsidP="00F00771">
      <w:pPr>
        <w:pStyle w:val="BodyText"/>
      </w:pPr>
      <w:r w:rsidRPr="00DE0FB3">
        <w:t>The unit of competency applies to the use of stencil, or silk-screen printing techniques to produce designs and artwork for textiles to be used for garments, textile products, furnishing fabrics or accessories or public ar</w:t>
      </w:r>
      <w:r w:rsidRPr="00DE0FB3">
        <w:t xml:space="preserve">t commissions.  </w:t>
      </w:r>
    </w:p>
    <w:p w:rsidR="00000000" w:rsidRPr="00DE0FB3" w:rsidP="00F00771">
      <w:pPr>
        <w:pStyle w:val="BodyText"/>
      </w:pPr>
      <w:r w:rsidRPr="00DE0FB3">
        <w:t xml:space="preserve">Screen printing involves the use of manual techniques, tools and equipment.  </w:t>
      </w:r>
    </w:p>
    <w:p w:rsidR="00000000" w:rsidRPr="00DE0FB3" w:rsidP="00F00771">
      <w:pPr>
        <w:pStyle w:val="BodyText"/>
      </w:pPr>
      <w:r w:rsidRPr="00DE0FB3">
        <w:t>Work may be conducted in small to large scale enterprises and may involve individual and team activities.</w:t>
      </w:r>
    </w:p>
    <w:p w:rsidR="00000000" w:rsidRPr="00DE0FB3" w:rsidP="00F00771">
      <w:pPr>
        <w:pStyle w:val="BodyText"/>
      </w:pPr>
      <w:r w:rsidRPr="00DE0FB3">
        <w:t>No licensing, legislative or certification requireme</w:t>
      </w:r>
      <w:r w:rsidRPr="00DE0FB3">
        <w:t>nts apply to this unit at the time of publication.</w:t>
      </w:r>
    </w:p>
    <w:p w:rsidR="00000000" w:rsidRPr="00DE0FB3" w:rsidP="00DE0FB3">
      <w:pPr>
        <w:pStyle w:val="Heading1"/>
      </w:pPr>
      <w:bookmarkStart w:id="3" w:name="O_933308"/>
      <w:bookmarkEnd w:id="3"/>
      <w:r w:rsidRPr="00DE0FB3">
        <w:t>Pre-requisite Unit</w:t>
      </w:r>
    </w:p>
    <w:p w:rsidR="00000000" w:rsidRPr="00DE0FB3" w:rsidP="00F00771">
      <w:pPr>
        <w:pStyle w:val="BodyText"/>
      </w:pPr>
      <w:r w:rsidRPr="00DE0FB3">
        <w:t>Nil</w:t>
      </w:r>
    </w:p>
    <w:p w:rsidR="00000000" w:rsidRPr="00DE0FB3" w:rsidP="00DE0FB3">
      <w:pPr>
        <w:pStyle w:val="Heading1"/>
      </w:pPr>
      <w:bookmarkStart w:id="4" w:name="O_933307"/>
      <w:bookmarkEnd w:id="4"/>
      <w:r w:rsidRPr="00DE0FB3">
        <w:t>Competency Field</w:t>
      </w:r>
    </w:p>
    <w:p w:rsidR="00000000" w:rsidRPr="00DE0FB3" w:rsidP="00F00771">
      <w:pPr>
        <w:pStyle w:val="BodyText"/>
      </w:pPr>
      <w:r w:rsidRPr="00DE0FB3">
        <w:t>Textile design and development</w:t>
      </w:r>
    </w:p>
    <w:p w:rsidR="00000000" w:rsidRPr="00DE0FB3" w:rsidP="00DE0FB3">
      <w:pPr>
        <w:pStyle w:val="Heading1"/>
      </w:pPr>
      <w:bookmarkStart w:id="5" w:name="O_933306"/>
      <w:bookmarkEnd w:id="5"/>
      <w:r w:rsidRPr="00DE0FB3">
        <w:t>Unit Sector</w:t>
      </w:r>
    </w:p>
    <w:p w:rsidR="00000000" w:rsidRPr="00DE0FB3" w:rsidP="00F00771">
      <w:pPr>
        <w:pStyle w:val="BodyText"/>
      </w:pPr>
      <w:r w:rsidRPr="00DE0FB3">
        <w:t>Not applicable</w:t>
      </w:r>
    </w:p>
    <w:p w:rsidR="00000000" w:rsidRPr="00DE0FB3" w:rsidP="00DE0FB3">
      <w:pPr>
        <w:pStyle w:val="Heading1"/>
      </w:pPr>
      <w:bookmarkStart w:id="6" w:name="O_933305"/>
      <w:bookmarkEnd w:id="6"/>
      <w:r w:rsidRPr="00DE0F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Eleme</w:t>
            </w:r>
            <w:r w:rsidRPr="00DE0FB3">
              <w:t>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Performance criteria describe the performance needed to demonstrate achievement of the element.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Follow standard operating procedures (SOPs)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Comply with work health and safety (WHS) requirements at all times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Use appropriate personal protective equipment (PPE) in accordance with SOPs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Identify job requirements from specifications, drawings, job sheets or work instructions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rPr>
                <w:rStyle w:val="SpecialBold"/>
              </w:rPr>
              <w:t xml:space="preserve">Prepare to prepare stencils and screens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 xml:space="preserve">Analyse design specifications and confirm stencil requirements with appropriate personnel 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Set up workstation, tools and equipment according to specifications and workplace procedures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Identify desired effects of screen printing and select appropriate conversion technique to achieve required design outcome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Prepare and label layouts and select media to prepare stencils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Complete stencils and check against design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rPr>
                <w:rStyle w:val="SpecialBold"/>
              </w:rPr>
              <w:t>Prepare screens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Select screen types and mesh for appropriate substrates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Prepare screens for stencil process and check against quality standards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 xml:space="preserve">Expose stencil masters according to industry specifications 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Develop screen images, dry and finish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 xml:space="preserve">Apply screen preparation according to workplace procedures 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rPr>
                <w:rStyle w:val="SpecialBold"/>
              </w:rPr>
              <w:t>Test screens and stencil quality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Print strike off and check against design specifications to ensure quality standards are met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Identify screen and stencil faults and determine causes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Apply modifications to screens, as required, using appropriate techniques, processes or materials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Complete screens and prepare for production processes</w:t>
            </w:r>
          </w:p>
        </w:tc>
      </w:tr>
      <w:tr w:rsidTr="00D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t>Examine outcom</w:t>
            </w:r>
            <w:r w:rsidRPr="00DE0FB3">
              <w:t>es and check against specifications with appropriate personnel</w:t>
            </w:r>
          </w:p>
        </w:tc>
      </w:tr>
    </w:tbl>
    <w:p w:rsidR="00000000" w:rsidRPr="00DE0FB3" w:rsidP="00DE0FB3">
      <w:pPr>
        <w:pStyle w:val="BodyText"/>
      </w:pPr>
    </w:p>
    <w:p w:rsidR="00000000" w:rsidRPr="00DE0FB3" w:rsidP="00DE0FB3">
      <w:pPr>
        <w:pStyle w:val="AllowPageBreak"/>
      </w:pPr>
    </w:p>
    <w:p w:rsidR="00000000" w:rsidRPr="00DE0FB3" w:rsidP="00DE0FB3">
      <w:pPr>
        <w:pStyle w:val="Heading1"/>
      </w:pPr>
      <w:bookmarkStart w:id="7" w:name="O_933304"/>
      <w:bookmarkEnd w:id="7"/>
      <w:r w:rsidRPr="00DE0FB3">
        <w:t>Foundation Skills</w:t>
      </w:r>
    </w:p>
    <w:p w:rsidR="00000000" w:rsidRPr="00DE0FB3" w:rsidP="00F00771">
      <w:pPr>
        <w:pStyle w:val="BodyText"/>
      </w:pPr>
      <w:r w:rsidRPr="00DE0FB3">
        <w:t>This section describes those required skills (language, literacy and numeracy) that are essential to performance.</w:t>
      </w:r>
    </w:p>
    <w:p w:rsidR="00000000" w:rsidRPr="00DE0FB3" w:rsidP="00F00771">
      <w:pPr>
        <w:pStyle w:val="BodyText"/>
      </w:pPr>
      <w:r w:rsidRPr="00DE0FB3">
        <w:t>Foundation skills essential to performanc</w:t>
      </w:r>
      <w:r w:rsidRPr="00DE0FB3">
        <w:t>e are explicit in the performance criteria of this unit of competency.</w:t>
      </w:r>
    </w:p>
    <w:p w:rsidR="00000000" w:rsidRPr="00DE0FB3" w:rsidP="00DE0FB3">
      <w:pPr>
        <w:pStyle w:val="Heading1"/>
      </w:pPr>
      <w:bookmarkStart w:id="8" w:name="O_933303"/>
      <w:bookmarkEnd w:id="8"/>
      <w:r w:rsidRPr="00DE0FB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FB3">
            <w:pPr>
              <w:pStyle w:val="BodyText"/>
              <w:rPr>
                <w:lang w:val="en-NZ"/>
              </w:rPr>
            </w:pPr>
            <w:r w:rsidRPr="00DE0FB3">
              <w:t>This field allows for different work environments and conditions that may affect performance. Essential operating conditions that may be present (de</w:t>
            </w:r>
            <w:r w:rsidRPr="00DE0FB3">
              <w:t>pending on the work situation, needs of the candidate, accessibility of the item, and local industry and regional contexts) are included.</w:t>
            </w: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Workplace procedures include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>requirements prescribed by legislation, awards, agreements and conditions of employment</w:t>
            </w:r>
          </w:p>
          <w:p w:rsidR="00000000" w:rsidRPr="00DE0FB3" w:rsidP="00DE0FB3">
            <w:pPr>
              <w:pStyle w:val="ListBullet"/>
            </w:pPr>
            <w:r w:rsidRPr="00DE0FB3">
              <w:t>SOPs</w:t>
            </w:r>
          </w:p>
          <w:p w:rsidR="00000000" w:rsidRPr="00DE0FB3" w:rsidP="00DE0FB3">
            <w:pPr>
              <w:pStyle w:val="ListBullet"/>
            </w:pPr>
            <w:r w:rsidRPr="00DE0FB3">
              <w:t>work instructions</w:t>
            </w:r>
          </w:p>
          <w:p w:rsidR="00000000" w:rsidRPr="00DE0FB3" w:rsidP="00DE0FB3">
            <w:pPr>
              <w:pStyle w:val="ListBullet"/>
            </w:pPr>
            <w:r w:rsidRPr="00DE0FB3">
              <w:t>PPE</w:t>
            </w:r>
          </w:p>
          <w:p w:rsidR="00000000" w:rsidRPr="00DE0FB3" w:rsidP="00DE0FB3">
            <w:pPr>
              <w:pStyle w:val="ListBullet"/>
            </w:pPr>
            <w:r w:rsidRPr="00DE0FB3">
              <w:t>oral, written and visual communication</w:t>
            </w:r>
          </w:p>
          <w:p w:rsidR="00000000" w:rsidRPr="00DE0FB3" w:rsidP="00DE0FB3">
            <w:pPr>
              <w:pStyle w:val="ListBullet"/>
            </w:pPr>
            <w:r w:rsidRPr="00DE0FB3">
              <w:t>quality practices, including responsibility for maintenance of own work quality and contribution to qu</w:t>
            </w:r>
            <w:r w:rsidRPr="00DE0FB3">
              <w:t>ality improvement of team or section output</w:t>
            </w:r>
          </w:p>
          <w:p w:rsidR="00000000" w:rsidRPr="00DE0FB3" w:rsidP="00DE0FB3">
            <w:pPr>
              <w:pStyle w:val="ListBullet"/>
            </w:pPr>
            <w:r w:rsidRPr="00DE0FB3">
              <w:t>housekeeping</w:t>
            </w:r>
          </w:p>
          <w:p w:rsidR="00000000" w:rsidRPr="00DE0FB3" w:rsidP="00DE0FB3">
            <w:pPr>
              <w:pStyle w:val="ListBullet"/>
            </w:pPr>
            <w:r w:rsidRPr="00DE0FB3">
              <w:t>tasks related to environmental protection, waste disposal, pollution control and recycling</w:t>
            </w:r>
          </w:p>
          <w:p w:rsidR="00000000" w:rsidRPr="00DE0FB3" w:rsidP="00DE0FB3">
            <w:pPr>
              <w:pStyle w:val="ListBullet"/>
            </w:pPr>
            <w:r w:rsidRPr="00DE0FB3">
              <w:t>WHS practices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Appropriate personnel include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>trainers</w:t>
            </w:r>
          </w:p>
          <w:p w:rsidR="00000000" w:rsidRPr="00DE0FB3" w:rsidP="00DE0FB3">
            <w:pPr>
              <w:pStyle w:val="ListBullet"/>
            </w:pPr>
            <w:r w:rsidRPr="00DE0FB3">
              <w:t>colleagues</w:t>
            </w:r>
          </w:p>
          <w:p w:rsidR="00000000" w:rsidRPr="00DE0FB3" w:rsidP="00DE0FB3">
            <w:pPr>
              <w:pStyle w:val="ListBullet"/>
            </w:pPr>
            <w:r w:rsidRPr="00DE0FB3">
              <w:t>mentors</w:t>
            </w:r>
          </w:p>
          <w:p w:rsidR="00000000" w:rsidRPr="00DE0FB3" w:rsidP="00DE0FB3">
            <w:pPr>
              <w:pStyle w:val="ListBullet"/>
            </w:pPr>
            <w:r w:rsidRPr="00DE0FB3">
              <w:t>designers</w:t>
            </w:r>
          </w:p>
          <w:p w:rsidR="00000000" w:rsidRPr="00DE0FB3" w:rsidP="00DE0FB3">
            <w:pPr>
              <w:pStyle w:val="ListBullet"/>
            </w:pPr>
            <w:r w:rsidRPr="00DE0FB3">
              <w:t>members of the design team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Conversion techniques include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>basic stencils</w:t>
            </w:r>
          </w:p>
          <w:p w:rsidR="00000000" w:rsidRPr="00DE0FB3" w:rsidP="00DE0FB3">
            <w:pPr>
              <w:pStyle w:val="ListBullet"/>
            </w:pPr>
            <w:r w:rsidRPr="00DE0FB3">
              <w:t>hand cut and hand drawn stencils</w:t>
            </w:r>
          </w:p>
          <w:p w:rsidR="00000000" w:rsidRPr="00DE0FB3" w:rsidP="00DE0FB3">
            <w:pPr>
              <w:pStyle w:val="ListBullet"/>
            </w:pPr>
            <w:r w:rsidRPr="00DE0FB3">
              <w:t>photosensitive stencils</w:t>
            </w:r>
          </w:p>
          <w:p w:rsidR="00000000" w:rsidRPr="00DE0FB3" w:rsidP="00DE0FB3">
            <w:pPr>
              <w:pStyle w:val="ListBullet"/>
            </w:pPr>
            <w:r w:rsidRPr="00DE0FB3">
              <w:t>autographic</w:t>
            </w:r>
          </w:p>
          <w:p w:rsidR="00000000" w:rsidRPr="00DE0FB3" w:rsidP="00DE0FB3">
            <w:pPr>
              <w:pStyle w:val="ListBullet"/>
            </w:pPr>
            <w:r w:rsidRPr="00DE0FB3">
              <w:t>digitally generated stencils</w:t>
            </w:r>
          </w:p>
          <w:p w:rsidR="00000000" w:rsidRPr="00DE0FB3" w:rsidP="00DE0FB3">
            <w:pPr>
              <w:pStyle w:val="ListBullet"/>
            </w:pPr>
            <w:r w:rsidRPr="00DE0FB3">
              <w:t>multi-coloured separations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Finish includ</w:t>
            </w:r>
            <w:r w:rsidRPr="00DE0FB3">
              <w:rPr>
                <w:rStyle w:val="SpecialBold"/>
              </w:rPr>
              <w:t>es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 xml:space="preserve">touch up and tape, as required </w:t>
            </w:r>
          </w:p>
          <w:p w:rsidR="00000000" w:rsidRPr="00DE0FB3" w:rsidP="00DE0FB3">
            <w:pPr>
              <w:pStyle w:val="ListBullet"/>
            </w:pPr>
            <w:r w:rsidRPr="00DE0FB3">
              <w:t>wash image clean and dry</w:t>
            </w:r>
          </w:p>
          <w:p w:rsidR="00000000" w:rsidRPr="00DE0FB3" w:rsidP="00DE0FB3">
            <w:pPr>
              <w:pStyle w:val="ListBullet"/>
            </w:pPr>
            <w:r w:rsidRPr="00DE0FB3">
              <w:t>check for pinholes</w:t>
            </w:r>
          </w:p>
          <w:p w:rsidR="00000000" w:rsidRPr="00DE0FB3" w:rsidP="00DE0FB3">
            <w:pPr>
              <w:pStyle w:val="ListBullet"/>
            </w:pPr>
            <w:r w:rsidRPr="00DE0FB3">
              <w:t>clean wash out of image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Tools and equipment include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>rulers and tape measures</w:t>
            </w:r>
          </w:p>
          <w:p w:rsidR="00000000" w:rsidRPr="00DE0FB3" w:rsidP="00DE0FB3">
            <w:pPr>
              <w:pStyle w:val="ListBullet"/>
            </w:pPr>
            <w:r w:rsidRPr="00DE0FB3">
              <w:t>light boxes</w:t>
            </w:r>
          </w:p>
          <w:p w:rsidR="00000000" w:rsidRPr="00DE0FB3" w:rsidP="00DE0FB3">
            <w:pPr>
              <w:pStyle w:val="ListBullet"/>
            </w:pPr>
            <w:r w:rsidRPr="00DE0FB3">
              <w:t>graph paper</w:t>
            </w:r>
          </w:p>
          <w:p w:rsidR="00000000" w:rsidRPr="00DE0FB3" w:rsidP="00DE0FB3">
            <w:pPr>
              <w:pStyle w:val="ListBullet"/>
            </w:pPr>
            <w:r w:rsidRPr="00DE0FB3">
              <w:t xml:space="preserve">photocopier  </w:t>
            </w:r>
          </w:p>
          <w:p w:rsidR="00000000" w:rsidRPr="00DE0FB3" w:rsidP="00DE0FB3">
            <w:pPr>
              <w:pStyle w:val="ListBullet"/>
            </w:pPr>
            <w:r w:rsidRPr="00DE0FB3">
              <w:t>overhead projector</w:t>
            </w:r>
          </w:p>
          <w:p w:rsidR="00000000" w:rsidRPr="00DE0FB3" w:rsidP="00DE0FB3">
            <w:pPr>
              <w:pStyle w:val="ListBullet"/>
            </w:pPr>
            <w:r w:rsidRPr="00DE0FB3">
              <w:t>photocopier</w:t>
            </w:r>
          </w:p>
          <w:p w:rsidR="00000000" w:rsidRPr="00DE0FB3" w:rsidP="00DE0FB3">
            <w:pPr>
              <w:pStyle w:val="ListBullet"/>
            </w:pPr>
            <w:r w:rsidRPr="00DE0FB3">
              <w:t>computer equipment</w:t>
            </w:r>
          </w:p>
          <w:p w:rsidR="00000000" w:rsidRPr="00DE0FB3" w:rsidP="00DE0FB3">
            <w:pPr>
              <w:pStyle w:val="ListBullet"/>
            </w:pPr>
            <w:r w:rsidRPr="00DE0FB3">
              <w:t>computer-aided design (CAD) software</w:t>
            </w:r>
          </w:p>
          <w:p w:rsidR="00000000" w:rsidRPr="00DE0FB3" w:rsidP="00DE0FB3">
            <w:pPr>
              <w:pStyle w:val="ListBullet"/>
            </w:pPr>
            <w:r w:rsidRPr="00DE0FB3">
              <w:t xml:space="preserve">tables 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</w:tr>
      <w:tr w:rsidTr="00F00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BodyText"/>
            </w:pPr>
            <w:r w:rsidRPr="00DE0FB3">
              <w:rPr>
                <w:rStyle w:val="SpecialBold"/>
              </w:rPr>
              <w:t>Screen and stencil and production faults include one or more of the following:</w:t>
            </w:r>
          </w:p>
          <w:p w:rsidR="00000000" w:rsidP="00DE0FB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FB3" w:rsidP="00DE0FB3">
            <w:pPr>
              <w:pStyle w:val="ListBullet"/>
            </w:pPr>
            <w:r w:rsidRPr="00DE0FB3">
              <w:t xml:space="preserve">uneven screen coating </w:t>
            </w:r>
          </w:p>
          <w:p w:rsidR="00000000" w:rsidRPr="00DE0FB3" w:rsidP="00DE0FB3">
            <w:pPr>
              <w:pStyle w:val="ListBullet"/>
            </w:pPr>
            <w:r w:rsidRPr="00DE0FB3">
              <w:t>incorrectly stretched screen mesh</w:t>
            </w:r>
          </w:p>
          <w:p w:rsidR="00000000" w:rsidRPr="00DE0FB3" w:rsidP="00DE0FB3">
            <w:pPr>
              <w:pStyle w:val="ListBullet"/>
            </w:pPr>
            <w:r w:rsidRPr="00DE0FB3">
              <w:t>poorly registered artwork/separations</w:t>
            </w:r>
          </w:p>
          <w:p w:rsidR="00000000" w:rsidRPr="00DE0FB3" w:rsidP="00DE0FB3">
            <w:pPr>
              <w:pStyle w:val="ListBullet"/>
            </w:pPr>
            <w:r w:rsidRPr="00DE0FB3">
              <w:t>inaccurate repeat measurements</w:t>
            </w:r>
          </w:p>
          <w:p w:rsidR="00000000" w:rsidRPr="00DE0FB3" w:rsidP="00DE0FB3">
            <w:pPr>
              <w:pStyle w:val="ListBullet"/>
            </w:pPr>
            <w:r w:rsidRPr="00DE0FB3">
              <w:t xml:space="preserve">incorrect exposure time used  </w:t>
            </w:r>
          </w:p>
          <w:p w:rsidR="00000000" w:rsidRPr="00DE0FB3" w:rsidP="00DE0FB3">
            <w:pPr>
              <w:pStyle w:val="ListBullet"/>
            </w:pPr>
            <w:r w:rsidRPr="00DE0FB3">
              <w:t>wet coating trough causing pinholes</w:t>
            </w:r>
          </w:p>
          <w:p w:rsidR="00000000" w:rsidRPr="00DE0FB3" w:rsidP="00DE0FB3">
            <w:pPr>
              <w:pStyle w:val="ListBullet"/>
            </w:pPr>
            <w:r w:rsidRPr="00DE0FB3">
              <w:t>warped screen frames</w:t>
            </w:r>
          </w:p>
          <w:p w:rsidR="00000000" w:rsidRPr="00DE0FB3" w:rsidP="00DE0FB3">
            <w:pPr>
              <w:pStyle w:val="ListBullet"/>
            </w:pPr>
            <w:r w:rsidRPr="00DE0FB3">
              <w:t>insufficient print paste used</w:t>
            </w:r>
          </w:p>
          <w:p w:rsidR="00000000" w:rsidRPr="00DE0FB3" w:rsidP="00DE0FB3">
            <w:pPr>
              <w:pStyle w:val="ListBullet"/>
            </w:pPr>
            <w:r w:rsidRPr="00DE0FB3">
              <w:t xml:space="preserve">off printing </w:t>
            </w:r>
          </w:p>
          <w:p w:rsidR="00000000" w:rsidRPr="00DE0FB3" w:rsidP="00DE0FB3">
            <w:pPr>
              <w:pStyle w:val="ListBullet"/>
            </w:pPr>
            <w:r w:rsidRPr="00DE0FB3">
              <w:t>poorly developed image</w:t>
            </w:r>
          </w:p>
          <w:p w:rsidR="00000000" w:rsidRPr="00DE0FB3" w:rsidP="00DE0FB3">
            <w:pPr>
              <w:pStyle w:val="ListBullet"/>
            </w:pPr>
            <w:r w:rsidRPr="00DE0FB3">
              <w:t>poor quality colour separations</w:t>
            </w:r>
          </w:p>
          <w:p w:rsidR="00000000" w:rsidRPr="00DE0FB3" w:rsidP="00DE0FB3">
            <w:pPr>
              <w:pStyle w:val="ListBullet"/>
            </w:pPr>
            <w:r w:rsidRPr="00DE0FB3">
              <w:t>stencil opacity insufficient</w:t>
            </w:r>
          </w:p>
        </w:tc>
      </w:tr>
    </w:tbl>
    <w:p w:rsidR="00000000" w:rsidRPr="00DE0FB3" w:rsidP="00DE0FB3">
      <w:pPr>
        <w:pStyle w:val="BodyText"/>
      </w:pPr>
    </w:p>
    <w:p w:rsidR="00000000" w:rsidRPr="00DE0FB3" w:rsidP="00DE0FB3">
      <w:pPr>
        <w:pStyle w:val="AllowPageBreak"/>
      </w:pPr>
    </w:p>
    <w:p w:rsidR="00000000" w:rsidRPr="00DE0FB3" w:rsidP="00DE0FB3">
      <w:pPr>
        <w:pStyle w:val="Heading1"/>
      </w:pPr>
      <w:bookmarkStart w:id="9" w:name="O_933302"/>
      <w:bookmarkEnd w:id="9"/>
      <w:r w:rsidRPr="00DE0FB3">
        <w:t>Unit Mapping Information</w:t>
      </w:r>
    </w:p>
    <w:p w:rsidR="00000000" w:rsidRPr="00DE0FB3" w:rsidP="00F00771">
      <w:pPr>
        <w:pStyle w:val="BodyText"/>
      </w:pPr>
      <w:r w:rsidRPr="00DE0FB3">
        <w:t>Release 1. Supersedes and is equivalent to LMTTD4013A Prepare stencils and screens for textile printing</w:t>
      </w:r>
    </w:p>
    <w:p w:rsidR="00000000" w:rsidRPr="00DE0FB3" w:rsidP="00DE0FB3">
      <w:pPr>
        <w:pStyle w:val="Heading1"/>
      </w:pPr>
      <w:bookmarkStart w:id="10" w:name="O_933295"/>
      <w:bookmarkEnd w:id="10"/>
      <w:r w:rsidRPr="00DE0FB3">
        <w:t>Links</w:t>
      </w:r>
    </w:p>
    <w:p w:rsidR="00000000" w:rsidRPr="00DE0FB3" w:rsidP="00F00771">
      <w:pPr>
        <w:pStyle w:val="BodyText"/>
      </w:pPr>
      <w:r w:rsidRPr="00DE0FB3">
        <w:t>Companion Volume implementation guides are found in VETN</w:t>
      </w:r>
      <w:r w:rsidRPr="00DE0FB3">
        <w:t xml:space="preserve">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13E8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E0FB3" w:rsidP="00DE0FB3"/>
    <w:sectPr w:rsidSect="00DE0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B3" w:rsidRPr="00F00771" w:rsidP="00F00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71" w:rsidP="00DE0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771" w:rsidP="00DE0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0771" w:rsidP="00DE0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FB3" w:rsidRPr="00F00771" w:rsidP="00F00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71" w:rsidRPr="002D2AF8" w:rsidP="00DE0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MSTTD4002 Prepare stencils and screens for textile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00771" w:rsidP="00DE0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EB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E37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FB3"/>
  </w:style>
  <w:style w:type="character" w:customStyle="1" w:styleId="Heading1Char">
    <w:name w:val="Heading 1 Char"/>
    <w:basedOn w:val="DefaultParagraphFont"/>
    <w:link w:val="Heading1"/>
    <w:rsid w:val="00DE0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F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0FB3"/>
    <w:rPr>
      <w:b/>
      <w:spacing w:val="0"/>
    </w:rPr>
  </w:style>
  <w:style w:type="paragraph" w:customStyle="1" w:styleId="SuperHeading">
    <w:name w:val="SuperHeading"/>
    <w:basedOn w:val="Normal"/>
    <w:rsid w:val="00DE0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0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F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F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FB3"/>
    <w:rPr>
      <w:i/>
    </w:rPr>
  </w:style>
  <w:style w:type="paragraph" w:styleId="Caption">
    <w:name w:val="caption"/>
    <w:basedOn w:val="BodyText"/>
    <w:next w:val="Normal"/>
    <w:qFormat/>
    <w:rsid w:val="00DE0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FB3"/>
  </w:style>
  <w:style w:type="paragraph" w:styleId="TableofFigures">
    <w:name w:val="table of figures"/>
    <w:basedOn w:val="Normal"/>
    <w:next w:val="Normal"/>
    <w:semiHidden/>
    <w:rsid w:val="00DE0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0FB3"/>
    <w:rPr>
      <w:rFonts w:ascii="Wingdings" w:hAnsi="Wingdings"/>
    </w:rPr>
  </w:style>
  <w:style w:type="paragraph" w:customStyle="1" w:styleId="TableHeading">
    <w:name w:val="Table Heading"/>
    <w:basedOn w:val="HeadingBase"/>
    <w:rsid w:val="00DE0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FB3"/>
    <w:rPr>
      <w:color w:val="0033CC"/>
      <w:u w:val="none"/>
    </w:rPr>
  </w:style>
  <w:style w:type="paragraph" w:customStyle="1" w:styleId="BodyTextRight">
    <w:name w:val="Body Text Right"/>
    <w:basedOn w:val="BodyText"/>
    <w:rsid w:val="00DE0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FB3"/>
    <w:rPr>
      <w:sz w:val="32"/>
    </w:rPr>
  </w:style>
  <w:style w:type="paragraph" w:customStyle="1" w:styleId="HeadingProcedure">
    <w:name w:val="Heading Procedure"/>
    <w:basedOn w:val="HeadingBase"/>
    <w:next w:val="Normal"/>
    <w:rsid w:val="00DE0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FB3"/>
    <w:pPr>
      <w:spacing w:before="60" w:after="60"/>
    </w:pPr>
  </w:style>
  <w:style w:type="paragraph" w:styleId="ListContinue">
    <w:name w:val="List Continue"/>
    <w:basedOn w:val="List"/>
    <w:rsid w:val="00DE0FB3"/>
    <w:pPr>
      <w:ind w:firstLine="0"/>
    </w:pPr>
  </w:style>
  <w:style w:type="paragraph" w:customStyle="1" w:styleId="ListNote">
    <w:name w:val="List Note"/>
    <w:basedOn w:val="List"/>
    <w:rsid w:val="00DE0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FB3"/>
    <w:rPr>
      <w:rFonts w:ascii="Courier New" w:hAnsi="Courier New"/>
    </w:rPr>
  </w:style>
  <w:style w:type="paragraph" w:customStyle="1" w:styleId="NoteBullet">
    <w:name w:val="Note Bullet"/>
    <w:basedOn w:val="Note"/>
    <w:rsid w:val="00DE0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0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FB3"/>
    <w:rPr>
      <w:b/>
      <w:smallCaps/>
    </w:rPr>
  </w:style>
  <w:style w:type="paragraph" w:customStyle="1" w:styleId="TableListNumber">
    <w:name w:val="Table List Number"/>
    <w:basedOn w:val="ListNumber"/>
    <w:rsid w:val="00DE0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FB3"/>
    <w:pPr>
      <w:numPr>
        <w:numId w:val="8"/>
      </w:numPr>
    </w:pPr>
  </w:style>
  <w:style w:type="paragraph" w:customStyle="1" w:styleId="ListAlpha2">
    <w:name w:val="List Alpha 2"/>
    <w:basedOn w:val="List2"/>
    <w:rsid w:val="00DE0FB3"/>
    <w:pPr>
      <w:numPr>
        <w:numId w:val="7"/>
      </w:numPr>
    </w:pPr>
  </w:style>
  <w:style w:type="paragraph" w:styleId="List2">
    <w:name w:val="List 2"/>
    <w:basedOn w:val="BodyText"/>
    <w:rsid w:val="00DE0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0FB3"/>
    <w:pPr>
      <w:numPr>
        <w:numId w:val="3"/>
      </w:numPr>
    </w:pPr>
  </w:style>
  <w:style w:type="paragraph" w:styleId="ListContinue2">
    <w:name w:val="List Continue 2"/>
    <w:basedOn w:val="List2"/>
    <w:rsid w:val="00DE0FB3"/>
    <w:pPr>
      <w:ind w:firstLine="0"/>
    </w:pPr>
  </w:style>
  <w:style w:type="paragraph" w:styleId="ListContinue3">
    <w:name w:val="List Continue 3"/>
    <w:basedOn w:val="List3"/>
    <w:rsid w:val="00DE0FB3"/>
    <w:pPr>
      <w:ind w:left="1021" w:firstLine="0"/>
    </w:pPr>
  </w:style>
  <w:style w:type="paragraph" w:styleId="ListContinue4">
    <w:name w:val="List Continue 4"/>
    <w:basedOn w:val="List4"/>
    <w:rsid w:val="00DE0FB3"/>
    <w:pPr>
      <w:ind w:firstLine="0"/>
    </w:pPr>
  </w:style>
  <w:style w:type="paragraph" w:styleId="ListContinue5">
    <w:name w:val="List Continue 5"/>
    <w:basedOn w:val="List5"/>
    <w:rsid w:val="00DE0FB3"/>
    <w:pPr>
      <w:ind w:firstLine="0"/>
    </w:pPr>
  </w:style>
  <w:style w:type="paragraph" w:styleId="ListNumber3">
    <w:name w:val="List Number 3"/>
    <w:basedOn w:val="List3"/>
    <w:rsid w:val="00DE0FB3"/>
    <w:pPr>
      <w:numPr>
        <w:numId w:val="4"/>
      </w:numPr>
    </w:pPr>
  </w:style>
  <w:style w:type="paragraph" w:styleId="ListNumber4">
    <w:name w:val="List Number 4"/>
    <w:basedOn w:val="List4"/>
    <w:rsid w:val="00DE0FB3"/>
    <w:pPr>
      <w:numPr>
        <w:numId w:val="5"/>
      </w:numPr>
    </w:pPr>
  </w:style>
  <w:style w:type="paragraph" w:styleId="ListNumber5">
    <w:name w:val="List Number 5"/>
    <w:basedOn w:val="List5"/>
    <w:rsid w:val="00DE0FB3"/>
    <w:pPr>
      <w:numPr>
        <w:numId w:val="6"/>
      </w:numPr>
    </w:pPr>
  </w:style>
  <w:style w:type="paragraph" w:styleId="BlockText">
    <w:name w:val="Block Text"/>
    <w:basedOn w:val="Normal"/>
    <w:rsid w:val="00DE0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FB3"/>
    <w:rPr>
      <w:sz w:val="16"/>
      <w:vertAlign w:val="superscript"/>
    </w:rPr>
  </w:style>
  <w:style w:type="character" w:customStyle="1" w:styleId="Symbols">
    <w:name w:val="Symbols"/>
    <w:basedOn w:val="DefaultParagraphFont"/>
    <w:rsid w:val="00DE0FB3"/>
    <w:rPr>
      <w:rFonts w:ascii="Symbol" w:hAnsi="Symbol"/>
    </w:rPr>
  </w:style>
  <w:style w:type="character" w:customStyle="1" w:styleId="MenuOptions">
    <w:name w:val="Menu Options"/>
    <w:basedOn w:val="DefaultParagraphFont"/>
    <w:rsid w:val="00DE0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FB3"/>
    <w:rPr>
      <w:b/>
    </w:rPr>
  </w:style>
  <w:style w:type="character" w:customStyle="1" w:styleId="Underlined">
    <w:name w:val="Underlined"/>
    <w:basedOn w:val="DefaultParagraphFont"/>
    <w:rsid w:val="00DE0FB3"/>
    <w:rPr>
      <w:u w:val="single"/>
    </w:rPr>
  </w:style>
  <w:style w:type="paragraph" w:customStyle="1" w:styleId="TableBodyTextRight">
    <w:name w:val="Table Body Text Right"/>
    <w:basedOn w:val="TableBodyText"/>
    <w:rsid w:val="00DE0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FB3"/>
    <w:rPr>
      <w:sz w:val="18"/>
    </w:rPr>
  </w:style>
  <w:style w:type="paragraph" w:customStyle="1" w:styleId="BodySmallRight">
    <w:name w:val="Body Small Right"/>
    <w:basedOn w:val="BodyTextRight"/>
    <w:rsid w:val="00DE0FB3"/>
    <w:rPr>
      <w:sz w:val="18"/>
      <w:szCs w:val="18"/>
    </w:rPr>
  </w:style>
  <w:style w:type="paragraph" w:customStyle="1" w:styleId="MarginEdition">
    <w:name w:val="Margin Edition"/>
    <w:basedOn w:val="MarginNote"/>
    <w:rsid w:val="00DE0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FB3"/>
    <w:rPr>
      <w:sz w:val="2"/>
      <w:szCs w:val="2"/>
    </w:rPr>
  </w:style>
  <w:style w:type="character" w:customStyle="1" w:styleId="Small">
    <w:name w:val="Small"/>
    <w:basedOn w:val="DefaultParagraphFont"/>
    <w:rsid w:val="00DE0FB3"/>
    <w:rPr>
      <w:sz w:val="16"/>
    </w:rPr>
  </w:style>
  <w:style w:type="paragraph" w:customStyle="1" w:styleId="WideTable">
    <w:name w:val="Wide Table"/>
    <w:basedOn w:val="Normal"/>
    <w:rsid w:val="00DE0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FB3"/>
  </w:style>
  <w:style w:type="paragraph" w:styleId="Quote">
    <w:name w:val="Quote"/>
    <w:basedOn w:val="Heading1"/>
    <w:link w:val="QuoteChar"/>
    <w:qFormat/>
    <w:rsid w:val="00DE0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FB3"/>
    <w:pPr>
      <w:pageBreakBefore/>
    </w:pPr>
  </w:style>
  <w:style w:type="paragraph" w:customStyle="1" w:styleId="Border">
    <w:name w:val="Border"/>
    <w:basedOn w:val="Normal"/>
    <w:qFormat/>
    <w:rsid w:val="00DE0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FB3"/>
    <w:rPr>
      <w:u w:val="single"/>
    </w:rPr>
  </w:style>
  <w:style w:type="character" w:customStyle="1" w:styleId="BoldandItalics">
    <w:name w:val="Bold and Italics"/>
    <w:qFormat/>
    <w:rsid w:val="00DE0FB3"/>
    <w:rPr>
      <w:b/>
      <w:i/>
      <w:u w:val="none"/>
    </w:rPr>
  </w:style>
  <w:style w:type="paragraph" w:styleId="BalloonText">
    <w:name w:val="Balloon Text"/>
    <w:basedOn w:val="Normal"/>
    <w:link w:val="BalloonTextChar"/>
    <w:rsid w:val="00DE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FB3"/>
    <w:pPr>
      <w:spacing w:before="0" w:after="0"/>
    </w:pPr>
  </w:style>
  <w:style w:type="paragraph" w:customStyle="1" w:styleId="BodyTextBold">
    <w:name w:val="Body Text Bold"/>
    <w:basedOn w:val="BodyText"/>
    <w:qFormat/>
    <w:rsid w:val="00DE0FB3"/>
    <w:rPr>
      <w:b/>
    </w:rPr>
  </w:style>
  <w:style w:type="character" w:styleId="Hyperlink">
    <w:name w:val="Hyperlink"/>
    <w:basedOn w:val="DefaultParagraphFont"/>
    <w:uiPriority w:val="99"/>
    <w:unhideWhenUsed/>
    <w:rsid w:val="00F00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4669</Characters>
  <Application>Microsoft Office Word</Application>
  <DocSecurity>0</DocSecurity>
  <Lines>259</Lines>
  <Paragraphs>150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MSTTD4002 Prepare stencils and screens for textile printing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