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8BE" w:rsidP="006A78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MSTTD4002 Prepare stencils and screens for textile printing</w:t>
      </w:r>
      <w:r>
        <w:fldChar w:fldCharType="end"/>
      </w:r>
    </w:p>
    <w:p w:rsidR="006A78BE" w:rsidP="006A78BE">
      <w:pPr>
        <w:pStyle w:val="Version"/>
        <w:sectPr w:rsidSect="007A5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EDB" w:rsidP="007A5EDB">
      <w:pPr>
        <w:pStyle w:val="SuperHeading"/>
      </w:pPr>
      <w:r w:rsidRPr="007A5EDB">
        <w:t>Assessment Requirements for MSTTD4002 Prepare stencils and screens for textile printing</w:t>
      </w:r>
    </w:p>
    <w:p w:rsidR="00000000" w:rsidRPr="007A5EDB" w:rsidP="007A5EDB">
      <w:pPr>
        <w:pStyle w:val="Heading1"/>
      </w:pPr>
      <w:bookmarkStart w:id="1" w:name="O_933297"/>
      <w:bookmarkEnd w:id="1"/>
      <w:r w:rsidRPr="007A5EDB">
        <w:t>Modification History</w:t>
      </w:r>
    </w:p>
    <w:p w:rsidR="00000000" w:rsidRPr="007A5EDB" w:rsidP="006A78BE">
      <w:pPr>
        <w:pStyle w:val="BodyText"/>
      </w:pPr>
      <w:r w:rsidRPr="007A5EDB">
        <w:t>Release 1. Supersedes and is equivalent to LMTTD4013A Prepare stencils and screens for textile printing</w:t>
      </w:r>
    </w:p>
    <w:p w:rsidR="00000000" w:rsidRPr="007A5EDB" w:rsidP="007A5EDB">
      <w:pPr>
        <w:pStyle w:val="Heading1"/>
      </w:pPr>
      <w:bookmarkStart w:id="2" w:name="O_933300"/>
      <w:bookmarkEnd w:id="2"/>
      <w:r w:rsidRPr="007A5EDB">
        <w:t>Performance Evidence</w:t>
      </w:r>
    </w:p>
    <w:p w:rsidR="00000000" w:rsidRPr="007A5EDB" w:rsidP="006A78BE">
      <w:pPr>
        <w:pStyle w:val="BodyText"/>
      </w:pPr>
      <w:r w:rsidRPr="007A5EDB">
        <w:t>Evidence required to demonstrate competence in this unit must be relevant to and satisfy the requirements of the elements and performance criteria and include:</w:t>
      </w:r>
    </w:p>
    <w:p w:rsidR="00000000" w:rsidRPr="007A5EDB" w:rsidP="007A5EDB">
      <w:pPr>
        <w:pStyle w:val="ListBullet"/>
      </w:pPr>
      <w:r w:rsidRPr="007A5EDB">
        <w:t>preparation of stencils on at least two (2) occasions for use with textile</w:t>
      </w:r>
      <w:r w:rsidRPr="007A5EDB">
        <w:t xml:space="preserve"> printing</w:t>
      </w:r>
    </w:p>
    <w:p w:rsidR="00000000" w:rsidRPr="007A5EDB" w:rsidP="007A5EDB">
      <w:pPr>
        <w:pStyle w:val="ListBullet"/>
      </w:pPr>
      <w:r w:rsidRPr="007A5EDB">
        <w:t xml:space="preserve">reading and following work instructions, standard operating procedures (SOPs), safe work practices </w:t>
      </w:r>
    </w:p>
    <w:p w:rsidR="00000000" w:rsidRPr="007A5EDB" w:rsidP="007A5EDB">
      <w:pPr>
        <w:pStyle w:val="ListBullet"/>
      </w:pPr>
      <w:r w:rsidRPr="007A5EDB">
        <w:t>using tools and equipment associated with screen printing</w:t>
      </w:r>
    </w:p>
    <w:p w:rsidR="00000000" w:rsidRPr="007A5EDB" w:rsidP="007A5EDB">
      <w:pPr>
        <w:pStyle w:val="ListBullet"/>
      </w:pPr>
      <w:r w:rsidRPr="007A5EDB">
        <w:t>analysing design specifications and interpreting production requirements</w:t>
      </w:r>
    </w:p>
    <w:p w:rsidR="00000000" w:rsidRPr="007A5EDB" w:rsidP="007A5EDB">
      <w:pPr>
        <w:pStyle w:val="ListBullet"/>
      </w:pPr>
      <w:r w:rsidRPr="007A5EDB">
        <w:t>identifying and</w:t>
      </w:r>
      <w:r w:rsidRPr="007A5EDB">
        <w:t xml:space="preserve"> addressing faults</w:t>
      </w:r>
    </w:p>
    <w:p w:rsidR="00000000" w:rsidRPr="007A5EDB" w:rsidP="007A5EDB">
      <w:pPr>
        <w:pStyle w:val="ListBullet"/>
      </w:pPr>
      <w:r w:rsidRPr="007A5EDB">
        <w:t>determining requirements of design and conversion to print</w:t>
      </w:r>
    </w:p>
    <w:p w:rsidR="00000000" w:rsidRPr="007A5EDB" w:rsidP="007A5EDB">
      <w:pPr>
        <w:pStyle w:val="ListBullet"/>
      </w:pPr>
      <w:r w:rsidRPr="007A5EDB">
        <w:t>making minor adjustments to equipment</w:t>
      </w:r>
    </w:p>
    <w:p w:rsidR="00000000" w:rsidRPr="007A5EDB" w:rsidP="007A5EDB">
      <w:pPr>
        <w:pStyle w:val="ListBullet"/>
      </w:pPr>
      <w:r w:rsidRPr="007A5EDB">
        <w:t xml:space="preserve">using printing techniques to test screens and stencil quality </w:t>
      </w:r>
    </w:p>
    <w:p w:rsidR="00000000" w:rsidRPr="007A5EDB" w:rsidP="007A5EDB">
      <w:pPr>
        <w:pStyle w:val="ListBullet"/>
      </w:pPr>
      <w:r w:rsidRPr="007A5EDB">
        <w:t>finalising screens ready for production</w:t>
      </w:r>
    </w:p>
    <w:p w:rsidR="00000000" w:rsidRPr="007A5EDB" w:rsidP="007A5EDB">
      <w:pPr>
        <w:pStyle w:val="ListBullet"/>
      </w:pPr>
      <w:r w:rsidRPr="007A5EDB">
        <w:t>evaluating own work, consulting relev</w:t>
      </w:r>
      <w:r w:rsidRPr="007A5EDB">
        <w:t>ant personnel and conducting quality checks</w:t>
      </w:r>
    </w:p>
    <w:p w:rsidR="00000000" w:rsidRPr="007A5EDB" w:rsidP="007A5EDB">
      <w:pPr>
        <w:pStyle w:val="ListBullet"/>
      </w:pPr>
      <w:r w:rsidRPr="007A5EDB">
        <w:t>applying workplace procedures.</w:t>
      </w:r>
    </w:p>
    <w:p w:rsidR="00000000" w:rsidRPr="007A5EDB" w:rsidP="007A5EDB">
      <w:pPr>
        <w:pStyle w:val="AllowPageBreak"/>
      </w:pPr>
    </w:p>
    <w:p w:rsidR="00000000" w:rsidRPr="007A5EDB" w:rsidP="007A5EDB">
      <w:pPr>
        <w:pStyle w:val="Heading1"/>
      </w:pPr>
      <w:bookmarkStart w:id="3" w:name="O_933299"/>
      <w:bookmarkEnd w:id="3"/>
      <w:r w:rsidRPr="007A5EDB">
        <w:t>Knowledge Evidence</w:t>
      </w:r>
    </w:p>
    <w:p w:rsidR="00000000" w:rsidRPr="007A5EDB" w:rsidP="006A78BE">
      <w:pPr>
        <w:pStyle w:val="BodyText"/>
      </w:pPr>
      <w:r w:rsidRPr="007A5EDB">
        <w:t>Evidence must be provided that demonstrates knowledge of:</w:t>
      </w:r>
    </w:p>
    <w:p w:rsidR="00000000" w:rsidRPr="007A5EDB" w:rsidP="007A5EDB">
      <w:pPr>
        <w:pStyle w:val="ListBullet"/>
      </w:pPr>
      <w:r w:rsidRPr="007A5EDB">
        <w:t>safe work practices and procedures and use of personal protective equipment (PPE)</w:t>
      </w:r>
    </w:p>
    <w:p w:rsidR="00000000" w:rsidRPr="007A5EDB" w:rsidP="007A5EDB">
      <w:pPr>
        <w:pStyle w:val="ListBullet"/>
      </w:pPr>
      <w:r w:rsidRPr="007A5EDB">
        <w:t>char</w:t>
      </w:r>
      <w:r w:rsidRPr="007A5EDB">
        <w:t>acteristics of stencil and screen types :</w:t>
      </w:r>
    </w:p>
    <w:p w:rsidR="00000000" w:rsidRPr="007A5EDB" w:rsidP="007A5EDB">
      <w:pPr>
        <w:pStyle w:val="ListBullet2"/>
      </w:pPr>
      <w:r w:rsidRPr="007A5EDB">
        <w:t>timber, steel and aluminium framed</w:t>
      </w:r>
    </w:p>
    <w:p w:rsidR="00000000" w:rsidRPr="007A5EDB" w:rsidP="007A5EDB">
      <w:pPr>
        <w:pStyle w:val="ListBullet2"/>
      </w:pPr>
      <w:r w:rsidRPr="007A5EDB">
        <w:t>butt, mitre, nailed, glued, screwed and welded</w:t>
      </w:r>
    </w:p>
    <w:p w:rsidR="00000000" w:rsidRPr="007A5EDB" w:rsidP="007A5EDB">
      <w:pPr>
        <w:pStyle w:val="ListBullet2"/>
      </w:pPr>
      <w:r w:rsidRPr="007A5EDB">
        <w:t>rectangle, rotary, hat and flat bed</w:t>
      </w:r>
    </w:p>
    <w:p w:rsidR="00000000" w:rsidRPr="007A5EDB" w:rsidP="007A5EDB">
      <w:pPr>
        <w:pStyle w:val="ListBullet"/>
      </w:pPr>
      <w:r w:rsidRPr="007A5EDB">
        <w:t>specific design and printing practices</w:t>
      </w:r>
    </w:p>
    <w:p w:rsidR="00000000" w:rsidRPr="007A5EDB" w:rsidP="007A5EDB">
      <w:pPr>
        <w:pStyle w:val="ListBullet"/>
      </w:pPr>
      <w:r w:rsidRPr="007A5EDB">
        <w:t>design types:</w:t>
      </w:r>
    </w:p>
    <w:p w:rsidR="00000000" w:rsidRPr="007A5EDB" w:rsidP="007A5EDB">
      <w:pPr>
        <w:pStyle w:val="ListBullet2"/>
      </w:pPr>
      <w:r w:rsidRPr="007A5EDB">
        <w:t>repeat patterns</w:t>
      </w:r>
    </w:p>
    <w:p w:rsidR="00000000" w:rsidRPr="007A5EDB" w:rsidP="007A5EDB">
      <w:pPr>
        <w:pStyle w:val="ListBullet2"/>
      </w:pPr>
      <w:r w:rsidRPr="007A5EDB">
        <w:t>border designs</w:t>
      </w:r>
    </w:p>
    <w:p w:rsidR="00000000" w:rsidRPr="007A5EDB" w:rsidP="007A5EDB">
      <w:pPr>
        <w:pStyle w:val="ListBullet2"/>
      </w:pPr>
      <w:r w:rsidRPr="007A5EDB">
        <w:t>placement prints</w:t>
      </w:r>
    </w:p>
    <w:p w:rsidR="00000000" w:rsidRPr="007A5EDB" w:rsidP="007A5EDB">
      <w:pPr>
        <w:pStyle w:val="ListBullet2"/>
      </w:pPr>
      <w:r w:rsidRPr="007A5EDB">
        <w:t>engineered designs</w:t>
      </w:r>
    </w:p>
    <w:p w:rsidR="00000000" w:rsidRPr="007A5EDB" w:rsidP="007A5EDB">
      <w:pPr>
        <w:pStyle w:val="ListBullet2"/>
      </w:pPr>
      <w:r w:rsidRPr="007A5EDB">
        <w:t>banners</w:t>
      </w:r>
    </w:p>
    <w:p w:rsidR="00000000" w:rsidRPr="007A5EDB" w:rsidP="007A5EDB">
      <w:pPr>
        <w:pStyle w:val="ListBullet"/>
      </w:pPr>
      <w:r w:rsidRPr="007A5EDB">
        <w:t>printing processes and practices</w:t>
      </w:r>
    </w:p>
    <w:p w:rsidR="00000000" w:rsidRPr="007A5EDB" w:rsidP="007A5EDB">
      <w:pPr>
        <w:pStyle w:val="ListBullet"/>
      </w:pPr>
      <w:r w:rsidRPr="007A5EDB">
        <w:t>different types of screens and meshes:</w:t>
      </w:r>
    </w:p>
    <w:p w:rsidR="00000000" w:rsidRPr="007A5EDB" w:rsidP="007A5EDB">
      <w:pPr>
        <w:pStyle w:val="ListBullet2"/>
      </w:pPr>
      <w:r w:rsidRPr="007A5EDB">
        <w:t>mesh types:</w:t>
      </w:r>
    </w:p>
    <w:p w:rsidR="00000000" w:rsidRPr="007A5EDB" w:rsidP="007A5EDB">
      <w:pPr>
        <w:pStyle w:val="ListBullet3"/>
      </w:pPr>
      <w:r w:rsidRPr="007A5EDB">
        <w:t xml:space="preserve">material  </w:t>
      </w:r>
    </w:p>
    <w:p w:rsidR="00000000" w:rsidRPr="007A5EDB" w:rsidP="007A5EDB">
      <w:pPr>
        <w:pStyle w:val="ListBullet3"/>
      </w:pPr>
      <w:r w:rsidRPr="007A5EDB">
        <w:t>nylon</w:t>
      </w:r>
    </w:p>
    <w:p w:rsidR="00000000" w:rsidRPr="007A5EDB" w:rsidP="007A5EDB">
      <w:pPr>
        <w:pStyle w:val="ListBullet3"/>
      </w:pPr>
      <w:r w:rsidRPr="007A5EDB">
        <w:t>polyester</w:t>
      </w:r>
    </w:p>
    <w:p w:rsidR="00000000" w:rsidRPr="007A5EDB" w:rsidP="007A5EDB">
      <w:pPr>
        <w:pStyle w:val="ListBullet3"/>
      </w:pPr>
      <w:r w:rsidRPr="007A5EDB">
        <w:t>metal</w:t>
      </w:r>
    </w:p>
    <w:p w:rsidR="00000000" w:rsidRPr="007A5EDB" w:rsidP="007A5EDB">
      <w:pPr>
        <w:pStyle w:val="ListBullet2"/>
      </w:pPr>
      <w:r w:rsidRPr="007A5EDB">
        <w:t>colour:</w:t>
      </w:r>
    </w:p>
    <w:p w:rsidR="00000000" w:rsidRPr="007A5EDB" w:rsidP="007A5EDB">
      <w:pPr>
        <w:pStyle w:val="ListBullet3"/>
      </w:pPr>
      <w:r w:rsidRPr="007A5EDB">
        <w:t>white</w:t>
      </w:r>
    </w:p>
    <w:p w:rsidR="00000000" w:rsidRPr="007A5EDB" w:rsidP="007A5EDB">
      <w:pPr>
        <w:pStyle w:val="ListBullet3"/>
      </w:pPr>
      <w:r w:rsidRPr="007A5EDB">
        <w:t>yellow</w:t>
      </w:r>
    </w:p>
    <w:p w:rsidR="00000000" w:rsidRPr="007A5EDB" w:rsidP="007A5EDB">
      <w:pPr>
        <w:pStyle w:val="ListBullet3"/>
      </w:pPr>
      <w:r w:rsidRPr="007A5EDB">
        <w:t>red</w:t>
      </w:r>
    </w:p>
    <w:p w:rsidR="00000000" w:rsidRPr="007A5EDB" w:rsidP="007A5EDB">
      <w:pPr>
        <w:pStyle w:val="ListBullet2"/>
      </w:pPr>
      <w:r w:rsidRPr="007A5EDB">
        <w:t>size</w:t>
      </w:r>
    </w:p>
    <w:p w:rsidR="00000000" w:rsidRPr="007A5EDB" w:rsidP="007A5EDB">
      <w:pPr>
        <w:pStyle w:val="ListBullet2"/>
      </w:pPr>
      <w:r w:rsidRPr="007A5EDB">
        <w:t>mono or multi-filament</w:t>
      </w:r>
    </w:p>
    <w:p w:rsidR="00000000" w:rsidRPr="007A5EDB" w:rsidP="007A5EDB">
      <w:pPr>
        <w:pStyle w:val="ListBullet"/>
      </w:pPr>
      <w:r w:rsidRPr="007A5EDB">
        <w:t>screen preparation:</w:t>
      </w:r>
    </w:p>
    <w:p w:rsidR="00000000" w:rsidRPr="007A5EDB" w:rsidP="007A5EDB">
      <w:pPr>
        <w:pStyle w:val="ListBullet2"/>
      </w:pPr>
      <w:r w:rsidRPr="007A5EDB">
        <w:t>checking for mesh tension</w:t>
      </w:r>
    </w:p>
    <w:p w:rsidR="00000000" w:rsidRPr="007A5EDB" w:rsidP="007A5EDB">
      <w:pPr>
        <w:pStyle w:val="ListBullet2"/>
      </w:pPr>
      <w:r w:rsidRPr="007A5EDB">
        <w:t>degreasing</w:t>
      </w:r>
    </w:p>
    <w:p w:rsidR="00000000" w:rsidRPr="007A5EDB" w:rsidP="007A5EDB">
      <w:pPr>
        <w:pStyle w:val="ListBullet2"/>
      </w:pPr>
      <w:r w:rsidRPr="007A5EDB">
        <w:t>haze removing</w:t>
      </w:r>
    </w:p>
    <w:p w:rsidR="00000000" w:rsidRPr="007A5EDB" w:rsidP="007A5EDB">
      <w:pPr>
        <w:pStyle w:val="ListBullet2"/>
      </w:pPr>
      <w:r w:rsidRPr="007A5EDB">
        <w:t>registration marks applied</w:t>
      </w:r>
    </w:p>
    <w:p w:rsidR="00000000" w:rsidRPr="007A5EDB" w:rsidP="007A5EDB">
      <w:pPr>
        <w:pStyle w:val="ListBullet2"/>
      </w:pPr>
      <w:r w:rsidRPr="007A5EDB">
        <w:t>coating</w:t>
      </w:r>
    </w:p>
    <w:p w:rsidR="00000000" w:rsidRPr="007A5EDB" w:rsidP="007A5EDB">
      <w:pPr>
        <w:pStyle w:val="ListBullet2"/>
      </w:pPr>
      <w:r w:rsidRPr="007A5EDB">
        <w:t xml:space="preserve">different types of medium </w:t>
      </w:r>
    </w:p>
    <w:p w:rsidR="00000000" w:rsidRPr="007A5EDB" w:rsidP="007A5EDB">
      <w:pPr>
        <w:pStyle w:val="ListBullet2"/>
      </w:pPr>
      <w:r w:rsidRPr="007A5EDB">
        <w:t>ruby lithe</w:t>
      </w:r>
    </w:p>
    <w:p w:rsidR="00000000" w:rsidRPr="007A5EDB" w:rsidP="007A5EDB">
      <w:pPr>
        <w:pStyle w:val="ListBullet2"/>
      </w:pPr>
      <w:r w:rsidRPr="007A5EDB">
        <w:t>designers opaque</w:t>
      </w:r>
    </w:p>
    <w:p w:rsidR="00000000" w:rsidRPr="007A5EDB" w:rsidP="007A5EDB">
      <w:pPr>
        <w:pStyle w:val="ListBullet2"/>
      </w:pPr>
      <w:r w:rsidRPr="007A5EDB">
        <w:t>ink</w:t>
      </w:r>
    </w:p>
    <w:p w:rsidR="00000000" w:rsidRPr="007A5EDB" w:rsidP="007A5EDB">
      <w:pPr>
        <w:pStyle w:val="ListBullet2"/>
      </w:pPr>
      <w:r w:rsidRPr="007A5EDB">
        <w:t>black wax crayon</w:t>
      </w:r>
    </w:p>
    <w:p w:rsidR="00000000" w:rsidRPr="007A5EDB" w:rsidP="007A5EDB">
      <w:pPr>
        <w:pStyle w:val="ListBullet2"/>
      </w:pPr>
      <w:r w:rsidRPr="007A5EDB">
        <w:t>digital prints</w:t>
      </w:r>
    </w:p>
    <w:p w:rsidR="00000000" w:rsidRPr="007A5EDB" w:rsidP="007A5EDB">
      <w:pPr>
        <w:pStyle w:val="ListBullet2"/>
      </w:pPr>
      <w:r w:rsidRPr="007A5EDB">
        <w:t>drafting film</w:t>
      </w:r>
    </w:p>
    <w:p w:rsidR="00000000" w:rsidRPr="007A5EDB" w:rsidP="007A5EDB">
      <w:pPr>
        <w:pStyle w:val="ListBullet2"/>
      </w:pPr>
      <w:r w:rsidRPr="007A5EDB">
        <w:t>pen</w:t>
      </w:r>
    </w:p>
    <w:p w:rsidR="00000000" w:rsidRPr="007A5EDB" w:rsidP="007A5EDB">
      <w:pPr>
        <w:pStyle w:val="ListBullet"/>
      </w:pPr>
      <w:r w:rsidRPr="007A5EDB">
        <w:t>conversion techniques</w:t>
      </w:r>
    </w:p>
    <w:p w:rsidR="00000000" w:rsidRPr="007A5EDB" w:rsidP="007A5EDB">
      <w:pPr>
        <w:pStyle w:val="ListBullet"/>
      </w:pPr>
      <w:r w:rsidRPr="007A5EDB">
        <w:t xml:space="preserve">stencil and printing techniques </w:t>
      </w:r>
    </w:p>
    <w:p w:rsidR="00000000" w:rsidRPr="007A5EDB" w:rsidP="007A5EDB">
      <w:pPr>
        <w:pStyle w:val="ListBullet"/>
      </w:pPr>
      <w:r w:rsidRPr="007A5EDB">
        <w:t>screen and stencil and production faults</w:t>
      </w:r>
    </w:p>
    <w:p w:rsidR="00000000" w:rsidRPr="007A5EDB" w:rsidP="007A5EDB">
      <w:pPr>
        <w:pStyle w:val="ListBullet"/>
      </w:pPr>
      <w:r w:rsidRPr="007A5EDB">
        <w:t>quality practices</w:t>
      </w:r>
    </w:p>
    <w:p w:rsidR="00000000" w:rsidRPr="007A5EDB" w:rsidP="007A5EDB">
      <w:pPr>
        <w:pStyle w:val="ListBullet"/>
      </w:pPr>
      <w:r w:rsidRPr="007A5EDB">
        <w:t>workplace procedures</w:t>
      </w:r>
    </w:p>
    <w:p w:rsidR="00000000" w:rsidRPr="007A5EDB" w:rsidP="007A5EDB">
      <w:pPr>
        <w:pStyle w:val="ListBullet"/>
      </w:pPr>
      <w:r w:rsidRPr="007A5EDB">
        <w:t>recording and reporting practices.</w:t>
      </w:r>
    </w:p>
    <w:p w:rsidR="00000000" w:rsidRPr="007A5EDB" w:rsidP="007A5EDB">
      <w:pPr>
        <w:pStyle w:val="AllowPageBreak"/>
      </w:pPr>
    </w:p>
    <w:p w:rsidR="00000000" w:rsidRPr="007A5EDB" w:rsidP="007A5EDB">
      <w:pPr>
        <w:pStyle w:val="Heading1"/>
      </w:pPr>
      <w:bookmarkStart w:id="4" w:name="O_933298"/>
      <w:bookmarkEnd w:id="4"/>
      <w:r w:rsidRPr="007A5EDB">
        <w:t>Assessment Conditions</w:t>
      </w:r>
    </w:p>
    <w:p w:rsidR="00000000" w:rsidRPr="007A5EDB" w:rsidP="007A5EDB">
      <w:pPr>
        <w:pStyle w:val="ListBullet"/>
      </w:pPr>
      <w:r w:rsidRPr="007A5EDB">
        <w:t>Assessors must:</w:t>
      </w:r>
    </w:p>
    <w:p w:rsidR="00000000" w:rsidRPr="007A5EDB" w:rsidP="007A5EDB">
      <w:pPr>
        <w:pStyle w:val="ListBullet2"/>
      </w:pPr>
      <w:r w:rsidRPr="007A5EDB">
        <w:t>satisfy the assessor competency requirements that are in place at the time of the as</w:t>
      </w:r>
      <w:r w:rsidRPr="007A5EDB">
        <w:t>sessment, as set by the VET regulator</w:t>
      </w:r>
    </w:p>
    <w:p w:rsidR="00000000" w:rsidRPr="007A5EDB" w:rsidP="007A5EDB">
      <w:pPr>
        <w:pStyle w:val="ListBullet2"/>
      </w:pPr>
      <w:r w:rsidRPr="007A5EDB">
        <w:t>have vocational competency in preparing stencils and screens for screen printing, at least to the level being assessed, with relevant industry knowledge and experience.</w:t>
      </w:r>
    </w:p>
    <w:p w:rsidR="00000000" w:rsidRPr="007A5EDB" w:rsidP="007A5EDB">
      <w:pPr>
        <w:pStyle w:val="ListBullet"/>
      </w:pPr>
      <w:r w:rsidRPr="007A5EDB">
        <w:t>Assessment should occur in operational workplace</w:t>
      </w:r>
      <w:r w:rsidRPr="007A5EDB">
        <w:t xml:space="preserve"> situations. Where this is not possible, or where personal safety or environmental damage are limiting factors, assessment must occur in a sufficiently rigorous simulated environment reflecting realistic operational workplace conditions. This must cover al</w:t>
      </w:r>
      <w:r w:rsidRPr="007A5EDB">
        <w:t>l aspects of workplace performance, including environment, task skills, task management skills, contingency management skills and job role environment skills.</w:t>
      </w:r>
    </w:p>
    <w:p w:rsidR="00000000" w:rsidRPr="007A5EDB" w:rsidP="007A5EDB">
      <w:pPr>
        <w:pStyle w:val="ListBullet"/>
      </w:pPr>
      <w:r w:rsidRPr="007A5EDB">
        <w:t>Assessment processes and techniques must be appropriate to the language, literacy and numeracy re</w:t>
      </w:r>
      <w:r w:rsidRPr="007A5EDB">
        <w:t>quirements of the work being performed and the needs of the candidate.</w:t>
      </w:r>
    </w:p>
    <w:p w:rsidR="00000000" w:rsidRPr="007A5EDB" w:rsidP="007A5EDB">
      <w:pPr>
        <w:pStyle w:val="ListBullet"/>
      </w:pPr>
      <w:r w:rsidRPr="007A5EDB">
        <w:t>Conditions for assessment must include access to all tools, equipment, materials and documentation required, including relevant workplace procedures, product and manufacturing specifica</w:t>
      </w:r>
      <w:r w:rsidRPr="007A5EDB">
        <w:t>tions associated with this unit.</w:t>
      </w:r>
    </w:p>
    <w:p w:rsidR="00000000" w:rsidRPr="007A5EDB" w:rsidP="007A5EDB">
      <w:pPr>
        <w:pStyle w:val="AllowPageBreak"/>
      </w:pPr>
    </w:p>
    <w:p w:rsidR="00000000" w:rsidRPr="007A5EDB" w:rsidP="007A5EDB">
      <w:pPr>
        <w:pStyle w:val="Heading1"/>
      </w:pPr>
      <w:bookmarkStart w:id="5" w:name="O_933296"/>
      <w:bookmarkEnd w:id="5"/>
      <w:r w:rsidRPr="007A5EDB">
        <w:t>Links</w:t>
      </w:r>
    </w:p>
    <w:p w:rsidR="00000000" w:rsidRPr="007A5EDB" w:rsidP="006A78BE">
      <w:pPr>
        <w:pStyle w:val="BodyText"/>
      </w:pPr>
      <w:r w:rsidRPr="007A5E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F422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A5EDB" w:rsidP="007A5EDB"/>
    <w:sectPr w:rsidSect="007A5E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DB" w:rsidRPr="006A78BE" w:rsidP="006A78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B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EDB" w:rsidRPr="006A78BE" w:rsidP="006A78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B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42BA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A6A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3EFF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EDB"/>
  </w:style>
  <w:style w:type="character" w:customStyle="1" w:styleId="Heading1Char">
    <w:name w:val="Heading 1 Char"/>
    <w:basedOn w:val="DefaultParagraphFont"/>
    <w:link w:val="Heading1"/>
    <w:rsid w:val="007A5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E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E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ED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5E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5E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5E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5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E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E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E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5EDB"/>
    <w:rPr>
      <w:b/>
      <w:spacing w:val="0"/>
    </w:rPr>
  </w:style>
  <w:style w:type="paragraph" w:customStyle="1" w:styleId="SuperTitle">
    <w:name w:val="SuperTitle"/>
    <w:basedOn w:val="Title"/>
    <w:rsid w:val="007A5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E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EDB"/>
    <w:rPr>
      <w:i/>
    </w:rPr>
  </w:style>
  <w:style w:type="paragraph" w:styleId="Caption">
    <w:name w:val="caption"/>
    <w:basedOn w:val="BodyText"/>
    <w:next w:val="Normal"/>
    <w:qFormat/>
    <w:rsid w:val="007A5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EDB"/>
  </w:style>
  <w:style w:type="paragraph" w:styleId="TableofFigures">
    <w:name w:val="table of figures"/>
    <w:basedOn w:val="Normal"/>
    <w:next w:val="Normal"/>
    <w:semiHidden/>
    <w:rsid w:val="007A5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E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5EDB"/>
    <w:rPr>
      <w:rFonts w:ascii="Wingdings" w:hAnsi="Wingdings"/>
    </w:rPr>
  </w:style>
  <w:style w:type="paragraph" w:customStyle="1" w:styleId="TableHeading">
    <w:name w:val="Table Heading"/>
    <w:basedOn w:val="HeadingBase"/>
    <w:rsid w:val="007A5E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EDB"/>
    <w:rPr>
      <w:color w:val="0033CC"/>
      <w:u w:val="none"/>
    </w:rPr>
  </w:style>
  <w:style w:type="paragraph" w:customStyle="1" w:styleId="BodyTextRight">
    <w:name w:val="Body Text Right"/>
    <w:basedOn w:val="BodyText"/>
    <w:rsid w:val="007A5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E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EDB"/>
    <w:rPr>
      <w:sz w:val="32"/>
    </w:rPr>
  </w:style>
  <w:style w:type="paragraph" w:customStyle="1" w:styleId="HeadingProcedure">
    <w:name w:val="Heading Procedure"/>
    <w:basedOn w:val="HeadingBase"/>
    <w:next w:val="Normal"/>
    <w:rsid w:val="007A5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EDB"/>
    <w:pPr>
      <w:spacing w:before="60" w:after="60"/>
    </w:pPr>
  </w:style>
  <w:style w:type="paragraph" w:styleId="ListContinue">
    <w:name w:val="List Continue"/>
    <w:basedOn w:val="List"/>
    <w:rsid w:val="007A5EDB"/>
    <w:pPr>
      <w:ind w:firstLine="0"/>
    </w:pPr>
  </w:style>
  <w:style w:type="paragraph" w:customStyle="1" w:styleId="ListNote">
    <w:name w:val="List Note"/>
    <w:basedOn w:val="List"/>
    <w:rsid w:val="007A5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EDB"/>
    <w:rPr>
      <w:rFonts w:ascii="Courier New" w:hAnsi="Courier New"/>
    </w:rPr>
  </w:style>
  <w:style w:type="paragraph" w:customStyle="1" w:styleId="NoteBullet">
    <w:name w:val="Note Bullet"/>
    <w:basedOn w:val="Note"/>
    <w:rsid w:val="007A5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E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5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EDB"/>
    <w:rPr>
      <w:b/>
      <w:smallCaps/>
    </w:rPr>
  </w:style>
  <w:style w:type="paragraph" w:customStyle="1" w:styleId="TableListNumber">
    <w:name w:val="Table List Number"/>
    <w:basedOn w:val="ListNumber"/>
    <w:rsid w:val="007A5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EDB"/>
    <w:pPr>
      <w:numPr>
        <w:numId w:val="10"/>
      </w:numPr>
    </w:pPr>
  </w:style>
  <w:style w:type="paragraph" w:customStyle="1" w:styleId="ListAlpha2">
    <w:name w:val="List Alpha 2"/>
    <w:basedOn w:val="List2"/>
    <w:rsid w:val="007A5EDB"/>
    <w:pPr>
      <w:numPr>
        <w:numId w:val="9"/>
      </w:numPr>
    </w:pPr>
  </w:style>
  <w:style w:type="paragraph" w:styleId="List2">
    <w:name w:val="List 2"/>
    <w:basedOn w:val="BodyText"/>
    <w:rsid w:val="007A5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E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5E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5EDB"/>
    <w:pPr>
      <w:numPr>
        <w:numId w:val="5"/>
      </w:numPr>
    </w:pPr>
  </w:style>
  <w:style w:type="paragraph" w:styleId="ListContinue2">
    <w:name w:val="List Continue 2"/>
    <w:basedOn w:val="List2"/>
    <w:rsid w:val="007A5EDB"/>
    <w:pPr>
      <w:ind w:firstLine="0"/>
    </w:pPr>
  </w:style>
  <w:style w:type="paragraph" w:styleId="ListContinue3">
    <w:name w:val="List Continue 3"/>
    <w:basedOn w:val="List3"/>
    <w:rsid w:val="007A5EDB"/>
    <w:pPr>
      <w:ind w:left="1021" w:firstLine="0"/>
    </w:pPr>
  </w:style>
  <w:style w:type="paragraph" w:styleId="ListContinue4">
    <w:name w:val="List Continue 4"/>
    <w:basedOn w:val="List4"/>
    <w:rsid w:val="007A5EDB"/>
    <w:pPr>
      <w:ind w:firstLine="0"/>
    </w:pPr>
  </w:style>
  <w:style w:type="paragraph" w:styleId="ListContinue5">
    <w:name w:val="List Continue 5"/>
    <w:basedOn w:val="List5"/>
    <w:rsid w:val="007A5EDB"/>
    <w:pPr>
      <w:ind w:firstLine="0"/>
    </w:pPr>
  </w:style>
  <w:style w:type="paragraph" w:styleId="ListNumber3">
    <w:name w:val="List Number 3"/>
    <w:basedOn w:val="List3"/>
    <w:rsid w:val="007A5EDB"/>
    <w:pPr>
      <w:numPr>
        <w:numId w:val="6"/>
      </w:numPr>
    </w:pPr>
  </w:style>
  <w:style w:type="paragraph" w:styleId="ListNumber4">
    <w:name w:val="List Number 4"/>
    <w:basedOn w:val="List4"/>
    <w:rsid w:val="007A5EDB"/>
    <w:pPr>
      <w:numPr>
        <w:numId w:val="7"/>
      </w:numPr>
    </w:pPr>
  </w:style>
  <w:style w:type="paragraph" w:styleId="ListNumber5">
    <w:name w:val="List Number 5"/>
    <w:basedOn w:val="List5"/>
    <w:rsid w:val="007A5EDB"/>
    <w:pPr>
      <w:numPr>
        <w:numId w:val="8"/>
      </w:numPr>
    </w:pPr>
  </w:style>
  <w:style w:type="paragraph" w:styleId="BlockText">
    <w:name w:val="Block Text"/>
    <w:basedOn w:val="Normal"/>
    <w:rsid w:val="007A5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EDB"/>
    <w:rPr>
      <w:sz w:val="16"/>
      <w:vertAlign w:val="superscript"/>
    </w:rPr>
  </w:style>
  <w:style w:type="character" w:customStyle="1" w:styleId="Symbols">
    <w:name w:val="Symbols"/>
    <w:basedOn w:val="DefaultParagraphFont"/>
    <w:rsid w:val="007A5EDB"/>
    <w:rPr>
      <w:rFonts w:ascii="Symbol" w:hAnsi="Symbol"/>
    </w:rPr>
  </w:style>
  <w:style w:type="character" w:customStyle="1" w:styleId="MenuOptions">
    <w:name w:val="Menu Options"/>
    <w:basedOn w:val="DefaultParagraphFont"/>
    <w:rsid w:val="007A5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EDB"/>
    <w:rPr>
      <w:b/>
    </w:rPr>
  </w:style>
  <w:style w:type="character" w:customStyle="1" w:styleId="Underlined">
    <w:name w:val="Underlined"/>
    <w:basedOn w:val="DefaultParagraphFont"/>
    <w:rsid w:val="007A5EDB"/>
    <w:rPr>
      <w:u w:val="single"/>
    </w:rPr>
  </w:style>
  <w:style w:type="paragraph" w:customStyle="1" w:styleId="TableBodyTextRight">
    <w:name w:val="Table Body Text Right"/>
    <w:basedOn w:val="TableBodyText"/>
    <w:rsid w:val="007A5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EDB"/>
    <w:rPr>
      <w:sz w:val="18"/>
    </w:rPr>
  </w:style>
  <w:style w:type="paragraph" w:customStyle="1" w:styleId="BodySmallRight">
    <w:name w:val="Body Small Right"/>
    <w:basedOn w:val="BodyTextRight"/>
    <w:rsid w:val="007A5EDB"/>
    <w:rPr>
      <w:sz w:val="18"/>
      <w:szCs w:val="18"/>
    </w:rPr>
  </w:style>
  <w:style w:type="paragraph" w:customStyle="1" w:styleId="MarginEdition">
    <w:name w:val="Margin Edition"/>
    <w:basedOn w:val="MarginNote"/>
    <w:rsid w:val="007A5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EDB"/>
    <w:rPr>
      <w:sz w:val="2"/>
      <w:szCs w:val="2"/>
    </w:rPr>
  </w:style>
  <w:style w:type="character" w:customStyle="1" w:styleId="Small">
    <w:name w:val="Small"/>
    <w:basedOn w:val="DefaultParagraphFont"/>
    <w:rsid w:val="007A5EDB"/>
    <w:rPr>
      <w:sz w:val="16"/>
    </w:rPr>
  </w:style>
  <w:style w:type="paragraph" w:customStyle="1" w:styleId="WideTable">
    <w:name w:val="Wide Table"/>
    <w:basedOn w:val="Normal"/>
    <w:rsid w:val="007A5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EDB"/>
  </w:style>
  <w:style w:type="paragraph" w:styleId="Quote">
    <w:name w:val="Quote"/>
    <w:basedOn w:val="Heading1"/>
    <w:link w:val="QuoteChar"/>
    <w:qFormat/>
    <w:rsid w:val="007A5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EDB"/>
    <w:pPr>
      <w:pageBreakBefore/>
    </w:pPr>
  </w:style>
  <w:style w:type="paragraph" w:customStyle="1" w:styleId="Border">
    <w:name w:val="Border"/>
    <w:basedOn w:val="Normal"/>
    <w:qFormat/>
    <w:rsid w:val="007A5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EDB"/>
    <w:rPr>
      <w:u w:val="single"/>
    </w:rPr>
  </w:style>
  <w:style w:type="character" w:customStyle="1" w:styleId="BoldandItalics">
    <w:name w:val="Bold and Italics"/>
    <w:qFormat/>
    <w:rsid w:val="007A5EDB"/>
    <w:rPr>
      <w:b/>
      <w:i/>
      <w:u w:val="none"/>
    </w:rPr>
  </w:style>
  <w:style w:type="paragraph" w:styleId="BalloonText">
    <w:name w:val="Balloon Text"/>
    <w:basedOn w:val="Normal"/>
    <w:link w:val="BalloonTextChar"/>
    <w:rsid w:val="007A5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E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E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EDB"/>
    <w:pPr>
      <w:spacing w:before="0" w:after="0"/>
    </w:pPr>
  </w:style>
  <w:style w:type="paragraph" w:customStyle="1" w:styleId="BodyTextBold">
    <w:name w:val="Body Text Bold"/>
    <w:basedOn w:val="BodyText"/>
    <w:qFormat/>
    <w:rsid w:val="007A5EDB"/>
    <w:rPr>
      <w:b/>
    </w:rPr>
  </w:style>
  <w:style w:type="character" w:styleId="Hyperlink">
    <w:name w:val="Hyperlink"/>
    <w:basedOn w:val="DefaultParagraphFont"/>
    <w:uiPriority w:val="99"/>
    <w:unhideWhenUsed/>
    <w:rsid w:val="006A78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3190</Characters>
  <Application>Microsoft Office Word</Application>
  <DocSecurity>0</DocSecurity>
  <Lines>99</Lines>
  <Paragraphs>87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MSTTD4002 Prepare stencils and screens for textile printing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