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305" w:rsidP="00595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MSTML3004 Identify performance and handling requirements of millinery materials</w:t>
      </w:r>
      <w:r>
        <w:fldChar w:fldCharType="end"/>
      </w:r>
    </w:p>
    <w:p w:rsidR="00595305" w:rsidP="00595305">
      <w:pPr>
        <w:pStyle w:val="Version"/>
        <w:sectPr w:rsidSect="000A5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0F1" w:rsidP="000A50F1">
      <w:pPr>
        <w:pStyle w:val="SuperHeading"/>
      </w:pPr>
      <w:r w:rsidRPr="000A50F1">
        <w:t>Assessment Requirements for MSTML3004 Identify performance and handling requirements of millinery materials</w:t>
      </w:r>
    </w:p>
    <w:p w:rsidR="00000000" w:rsidRPr="000A50F1" w:rsidP="000A50F1">
      <w:pPr>
        <w:pStyle w:val="Heading1"/>
      </w:pPr>
      <w:bookmarkStart w:id="1" w:name="O_934040"/>
      <w:bookmarkEnd w:id="1"/>
      <w:r w:rsidRPr="000A50F1">
        <w:t>Modification History</w:t>
      </w:r>
    </w:p>
    <w:p w:rsidR="00000000" w:rsidRPr="000A50F1" w:rsidP="00595305">
      <w:pPr>
        <w:pStyle w:val="BodyText"/>
      </w:pPr>
      <w:r w:rsidRPr="000A50F1">
        <w:t>Release 1. Supersedes and is equivalent</w:t>
      </w:r>
      <w:r w:rsidRPr="000A50F1">
        <w:t xml:space="preserve"> to LMTML3004A Identify performance and handling requirements of millinery materials</w:t>
      </w:r>
    </w:p>
    <w:p w:rsidR="00000000" w:rsidRPr="000A50F1" w:rsidP="000A50F1">
      <w:pPr>
        <w:pStyle w:val="Heading1"/>
      </w:pPr>
      <w:bookmarkStart w:id="2" w:name="O_934043"/>
      <w:bookmarkEnd w:id="2"/>
      <w:r w:rsidRPr="000A50F1">
        <w:t>Performance Evidence</w:t>
      </w:r>
    </w:p>
    <w:p w:rsidR="00000000" w:rsidRPr="000A50F1" w:rsidP="00595305">
      <w:pPr>
        <w:pStyle w:val="BodyText"/>
      </w:pPr>
      <w:r w:rsidRPr="000A50F1">
        <w:t>Evidence required to demonstrate competence in this unit must be relevant to and satisfy the requirements of the elements and perform</w:t>
      </w:r>
      <w:r w:rsidRPr="000A50F1">
        <w:t>ance criteria, and include:</w:t>
      </w:r>
    </w:p>
    <w:p w:rsidR="00000000" w:rsidRPr="000A50F1" w:rsidP="000A50F1">
      <w:pPr>
        <w:pStyle w:val="ListBullet"/>
      </w:pPr>
      <w:r w:rsidRPr="000A50F1">
        <w:t>reading and following work instructions, standard operating procedures and safe work practices and other reference material</w:t>
      </w:r>
    </w:p>
    <w:p w:rsidR="00000000" w:rsidRPr="000A50F1" w:rsidP="000A50F1">
      <w:pPr>
        <w:pStyle w:val="ListBullet"/>
      </w:pPr>
      <w:r w:rsidRPr="000A50F1">
        <w:t>identifying the structure and composition of traditional and non-traditional millinery materials</w:t>
      </w:r>
    </w:p>
    <w:p w:rsidR="00000000" w:rsidRPr="000A50F1" w:rsidP="000A50F1">
      <w:pPr>
        <w:pStyle w:val="ListBullet"/>
      </w:pPr>
      <w:r w:rsidRPr="000A50F1">
        <w:t>identi</w:t>
      </w:r>
      <w:r w:rsidRPr="000A50F1">
        <w:t>fying common problems and faults of materials</w:t>
      </w:r>
    </w:p>
    <w:p w:rsidR="00000000" w:rsidRPr="000A50F1" w:rsidP="000A50F1">
      <w:pPr>
        <w:pStyle w:val="ListBullet"/>
      </w:pPr>
      <w:r w:rsidRPr="000A50F1">
        <w:t>identifying material quality using established quality indicators and testing fabric performance</w:t>
      </w:r>
    </w:p>
    <w:p w:rsidR="00000000" w:rsidRPr="000A50F1" w:rsidP="000A50F1">
      <w:pPr>
        <w:pStyle w:val="ListBullet"/>
      </w:pPr>
      <w:r w:rsidRPr="000A50F1">
        <w:t>conducting performance testing of millinery materials on at least two (2) occasions</w:t>
      </w:r>
    </w:p>
    <w:p w:rsidR="00000000" w:rsidRPr="000A50F1" w:rsidP="000A50F1">
      <w:pPr>
        <w:pStyle w:val="ListBullet"/>
      </w:pPr>
      <w:r w:rsidRPr="000A50F1">
        <w:t>testing and identifying at le</w:t>
      </w:r>
      <w:r w:rsidRPr="000A50F1">
        <w:t>ast two (2) performance characteristics of traditional and non-traditional millinery materials</w:t>
      </w:r>
    </w:p>
    <w:p w:rsidR="00000000" w:rsidRPr="000A50F1" w:rsidP="000A50F1">
      <w:pPr>
        <w:pStyle w:val="ListBullet"/>
      </w:pPr>
      <w:r w:rsidRPr="000A50F1">
        <w:t>identifying quality indicators of millinery materials</w:t>
      </w:r>
    </w:p>
    <w:p w:rsidR="00000000" w:rsidRPr="000A50F1" w:rsidP="000A50F1">
      <w:pPr>
        <w:pStyle w:val="ListBullet"/>
      </w:pPr>
      <w:r w:rsidRPr="000A50F1">
        <w:t xml:space="preserve">using performance characteristics to describe appropriate uses of millinery materials </w:t>
      </w:r>
    </w:p>
    <w:p w:rsidR="00000000" w:rsidRPr="000A50F1" w:rsidP="000A50F1">
      <w:pPr>
        <w:pStyle w:val="ListBullet"/>
      </w:pPr>
      <w:r w:rsidRPr="000A50F1">
        <w:t>identifying material</w:t>
      </w:r>
      <w:r w:rsidRPr="000A50F1">
        <w:t xml:space="preserve"> finishes and implications for handling, care, cleaning and construction for at least two (2) types of millinery materials.</w:t>
      </w:r>
    </w:p>
    <w:p w:rsidR="00000000" w:rsidRPr="000A50F1" w:rsidP="000A50F1">
      <w:pPr>
        <w:pStyle w:val="AllowPageBreak"/>
      </w:pPr>
    </w:p>
    <w:p w:rsidR="00000000" w:rsidRPr="000A50F1" w:rsidP="000A50F1">
      <w:pPr>
        <w:pStyle w:val="Heading1"/>
      </w:pPr>
      <w:bookmarkStart w:id="3" w:name="O_934042"/>
      <w:bookmarkEnd w:id="3"/>
      <w:r w:rsidRPr="000A50F1">
        <w:t>Knowledge Evidence</w:t>
      </w:r>
    </w:p>
    <w:p w:rsidR="00000000" w:rsidRPr="000A50F1" w:rsidP="00595305">
      <w:pPr>
        <w:pStyle w:val="BodyText"/>
      </w:pPr>
      <w:r w:rsidRPr="000A50F1">
        <w:t>Evidence must be provided that demonstrates knowledge of:</w:t>
      </w:r>
    </w:p>
    <w:p w:rsidR="00000000" w:rsidRPr="000A50F1" w:rsidP="000A50F1">
      <w:pPr>
        <w:pStyle w:val="ListBullet"/>
      </w:pPr>
      <w:r w:rsidRPr="000A50F1">
        <w:t>safe work practices and procedures an</w:t>
      </w:r>
      <w:r w:rsidRPr="000A50F1">
        <w:t>d use of personal protective equipment (PPE)</w:t>
      </w:r>
    </w:p>
    <w:p w:rsidR="00000000" w:rsidRPr="000A50F1" w:rsidP="000A50F1">
      <w:pPr>
        <w:pStyle w:val="ListBullet"/>
      </w:pPr>
      <w:r w:rsidRPr="000A50F1">
        <w:t>traditional and non-traditional millinery materials:</w:t>
      </w:r>
    </w:p>
    <w:p w:rsidR="00000000" w:rsidRPr="000A50F1" w:rsidP="000A50F1">
      <w:pPr>
        <w:pStyle w:val="ListBullet2"/>
      </w:pPr>
      <w:r w:rsidRPr="000A50F1">
        <w:t>woven and non-woven materials</w:t>
      </w:r>
    </w:p>
    <w:p w:rsidR="00000000" w:rsidRPr="000A50F1" w:rsidP="000A50F1">
      <w:pPr>
        <w:pStyle w:val="ListBullet2"/>
      </w:pPr>
      <w:r w:rsidRPr="000A50F1">
        <w:t>natural and synthetic materials</w:t>
      </w:r>
    </w:p>
    <w:p w:rsidR="00000000" w:rsidRPr="000A50F1" w:rsidP="000A50F1">
      <w:pPr>
        <w:pStyle w:val="ListBullet2"/>
      </w:pPr>
      <w:r w:rsidRPr="000A50F1">
        <w:t>flat or moulded materials</w:t>
      </w:r>
    </w:p>
    <w:p w:rsidR="00000000" w:rsidRPr="000A50F1" w:rsidP="000A50F1">
      <w:pPr>
        <w:pStyle w:val="ListBullet2"/>
      </w:pPr>
      <w:r w:rsidRPr="000A50F1">
        <w:t>composite materials</w:t>
      </w:r>
    </w:p>
    <w:p w:rsidR="00000000" w:rsidRPr="000A50F1" w:rsidP="000A50F1">
      <w:pPr>
        <w:pStyle w:val="ListBullet2"/>
      </w:pPr>
      <w:r w:rsidRPr="000A50F1">
        <w:t>foundation materials</w:t>
      </w:r>
    </w:p>
    <w:p w:rsidR="00000000" w:rsidRPr="000A50F1" w:rsidP="000A50F1">
      <w:pPr>
        <w:pStyle w:val="ListBullet2"/>
      </w:pPr>
      <w:r w:rsidRPr="000A50F1">
        <w:t>linings</w:t>
      </w:r>
    </w:p>
    <w:p w:rsidR="00000000" w:rsidRPr="000A50F1" w:rsidP="000A50F1">
      <w:pPr>
        <w:pStyle w:val="ListBullet2"/>
      </w:pPr>
      <w:r w:rsidRPr="000A50F1">
        <w:t>covering fabrics</w:t>
      </w:r>
    </w:p>
    <w:p w:rsidR="00000000" w:rsidRPr="000A50F1" w:rsidP="000A50F1">
      <w:pPr>
        <w:pStyle w:val="ListBullet2"/>
      </w:pPr>
      <w:r w:rsidRPr="000A50F1">
        <w:t>trims</w:t>
      </w:r>
    </w:p>
    <w:p w:rsidR="00000000" w:rsidRPr="000A50F1" w:rsidP="000A50F1">
      <w:pPr>
        <w:pStyle w:val="ListBullet2"/>
      </w:pPr>
      <w:r w:rsidRPr="000A50F1">
        <w:t>components (wire, ribbon and feathers)</w:t>
      </w:r>
    </w:p>
    <w:p w:rsidR="00000000" w:rsidRPr="000A50F1" w:rsidP="000A50F1">
      <w:pPr>
        <w:pStyle w:val="ListBullet"/>
      </w:pPr>
      <w:r w:rsidRPr="000A50F1">
        <w:t>performance characteristics of millinery materials:</w:t>
      </w:r>
    </w:p>
    <w:p w:rsidR="00000000" w:rsidRPr="000A50F1" w:rsidP="000A50F1">
      <w:pPr>
        <w:pStyle w:val="ListBullet2"/>
      </w:pPr>
      <w:r w:rsidRPr="000A50F1">
        <w:t>abrasion</w:t>
      </w:r>
    </w:p>
    <w:p w:rsidR="00000000" w:rsidRPr="000A50F1" w:rsidP="000A50F1">
      <w:pPr>
        <w:pStyle w:val="ListBullet2"/>
      </w:pPr>
      <w:r w:rsidRPr="000A50F1">
        <w:t>wearability</w:t>
      </w:r>
    </w:p>
    <w:p w:rsidR="00000000" w:rsidRPr="000A50F1" w:rsidP="000A50F1">
      <w:pPr>
        <w:pStyle w:val="ListBullet2"/>
      </w:pPr>
      <w:r w:rsidRPr="000A50F1">
        <w:t>absorbency</w:t>
      </w:r>
    </w:p>
    <w:p w:rsidR="00000000" w:rsidRPr="000A50F1" w:rsidP="000A50F1">
      <w:pPr>
        <w:pStyle w:val="ListBullet2"/>
      </w:pPr>
      <w:r w:rsidRPr="000A50F1">
        <w:t>durability</w:t>
      </w:r>
    </w:p>
    <w:p w:rsidR="00000000" w:rsidRPr="000A50F1" w:rsidP="000A50F1">
      <w:pPr>
        <w:pStyle w:val="ListBullet2"/>
      </w:pPr>
      <w:r w:rsidRPr="000A50F1">
        <w:t>elasticity</w:t>
      </w:r>
    </w:p>
    <w:p w:rsidR="00000000" w:rsidRPr="000A50F1" w:rsidP="000A50F1">
      <w:pPr>
        <w:pStyle w:val="ListBullet2"/>
      </w:pPr>
      <w:r w:rsidRPr="000A50F1">
        <w:t>heat sensitivity</w:t>
      </w:r>
    </w:p>
    <w:p w:rsidR="00000000" w:rsidRPr="000A50F1" w:rsidP="000A50F1">
      <w:pPr>
        <w:pStyle w:val="ListBullet2"/>
      </w:pPr>
      <w:r w:rsidRPr="000A50F1">
        <w:t>colour fastness</w:t>
      </w:r>
    </w:p>
    <w:p w:rsidR="00000000" w:rsidRPr="000A50F1" w:rsidP="000A50F1">
      <w:pPr>
        <w:pStyle w:val="ListBullet2"/>
      </w:pPr>
      <w:r w:rsidRPr="000A50F1">
        <w:t>strength</w:t>
      </w:r>
    </w:p>
    <w:p w:rsidR="00000000" w:rsidRPr="000A50F1" w:rsidP="000A50F1">
      <w:pPr>
        <w:pStyle w:val="ListBullet"/>
      </w:pPr>
      <w:r w:rsidRPr="000A50F1">
        <w:t>handling requirements of millinery materials</w:t>
      </w:r>
    </w:p>
    <w:p w:rsidR="00000000" w:rsidRPr="000A50F1" w:rsidP="000A50F1">
      <w:pPr>
        <w:pStyle w:val="ListBullet"/>
      </w:pPr>
      <w:r w:rsidRPr="000A50F1">
        <w:t>care and cleaning of millinery materials</w:t>
      </w:r>
    </w:p>
    <w:p w:rsidR="00000000" w:rsidRPr="000A50F1" w:rsidP="000A50F1">
      <w:pPr>
        <w:pStyle w:val="ListBullet"/>
      </w:pPr>
      <w:r w:rsidRPr="000A50F1">
        <w:t>finishes:</w:t>
      </w:r>
    </w:p>
    <w:p w:rsidR="00000000" w:rsidRPr="000A50F1" w:rsidP="000A50F1">
      <w:pPr>
        <w:pStyle w:val="ListBullet2"/>
      </w:pPr>
      <w:r w:rsidRPr="000A50F1">
        <w:t>colouration</w:t>
      </w:r>
    </w:p>
    <w:p w:rsidR="00000000" w:rsidRPr="000A50F1" w:rsidP="000A50F1">
      <w:pPr>
        <w:pStyle w:val="ListBullet2"/>
      </w:pPr>
      <w:r w:rsidRPr="000A50F1">
        <w:t>brushing</w:t>
      </w:r>
    </w:p>
    <w:p w:rsidR="00000000" w:rsidRPr="000A50F1" w:rsidP="000A50F1">
      <w:pPr>
        <w:pStyle w:val="ListBullet2"/>
      </w:pPr>
      <w:r w:rsidRPr="000A50F1">
        <w:t>sizing</w:t>
      </w:r>
    </w:p>
    <w:p w:rsidR="00000000" w:rsidRPr="000A50F1" w:rsidP="000A50F1">
      <w:pPr>
        <w:pStyle w:val="ListBullet2"/>
      </w:pPr>
      <w:r w:rsidRPr="000A50F1">
        <w:t>decorative surface finishes for aesthetics</w:t>
      </w:r>
    </w:p>
    <w:p w:rsidR="00000000" w:rsidRPr="000A50F1" w:rsidP="000A50F1">
      <w:pPr>
        <w:pStyle w:val="ListBullet2"/>
      </w:pPr>
      <w:r w:rsidRPr="000A50F1">
        <w:t>floating threads or fibres</w:t>
      </w:r>
    </w:p>
    <w:p w:rsidR="00000000" w:rsidRPr="000A50F1" w:rsidP="000A50F1">
      <w:pPr>
        <w:pStyle w:val="ListBullet"/>
      </w:pPr>
      <w:r w:rsidRPr="000A50F1">
        <w:t>quality practices</w:t>
      </w:r>
    </w:p>
    <w:p w:rsidR="00000000" w:rsidRPr="000A50F1" w:rsidP="000A50F1">
      <w:pPr>
        <w:pStyle w:val="ListBullet"/>
      </w:pPr>
      <w:r w:rsidRPr="000A50F1">
        <w:t>relevant Australian Standards</w:t>
      </w:r>
    </w:p>
    <w:p w:rsidR="00000000" w:rsidRPr="000A50F1" w:rsidP="000A50F1">
      <w:pPr>
        <w:pStyle w:val="ListBullet"/>
      </w:pPr>
      <w:r w:rsidRPr="000A50F1">
        <w:t>workplace procedures</w:t>
      </w:r>
    </w:p>
    <w:p w:rsidR="00000000" w:rsidRPr="000A50F1" w:rsidP="000A50F1">
      <w:pPr>
        <w:pStyle w:val="ListBullet"/>
      </w:pPr>
      <w:r w:rsidRPr="000A50F1">
        <w:t>recording and reporting practices.</w:t>
      </w:r>
    </w:p>
    <w:p w:rsidR="00000000" w:rsidRPr="000A50F1" w:rsidP="000A50F1">
      <w:pPr>
        <w:pStyle w:val="AllowPageBreak"/>
      </w:pPr>
    </w:p>
    <w:p w:rsidR="00000000" w:rsidRPr="000A50F1" w:rsidP="000A50F1">
      <w:pPr>
        <w:pStyle w:val="Heading1"/>
      </w:pPr>
      <w:bookmarkStart w:id="4" w:name="O_934041"/>
      <w:bookmarkEnd w:id="4"/>
      <w:r w:rsidRPr="000A50F1">
        <w:t>Assessment Conditions</w:t>
      </w:r>
    </w:p>
    <w:p w:rsidR="00000000" w:rsidRPr="000A50F1" w:rsidP="000A50F1">
      <w:pPr>
        <w:pStyle w:val="ListBullet"/>
      </w:pPr>
      <w:r w:rsidRPr="000A50F1">
        <w:t>Assessors must:</w:t>
      </w:r>
    </w:p>
    <w:p w:rsidR="00000000" w:rsidRPr="000A50F1" w:rsidP="000A50F1">
      <w:pPr>
        <w:pStyle w:val="ListBullet2"/>
      </w:pPr>
      <w:r w:rsidRPr="000A50F1">
        <w:t>satisfy the assessor competency requirements that are in place at the time of the assessment, as set by the VET regulator</w:t>
      </w:r>
    </w:p>
    <w:p w:rsidR="00000000" w:rsidRPr="000A50F1" w:rsidP="000A50F1">
      <w:pPr>
        <w:pStyle w:val="ListBullet2"/>
      </w:pPr>
      <w:r w:rsidRPr="000A50F1">
        <w:t>have vocational competency in identifying performance and handling requirement</w:t>
      </w:r>
      <w:r w:rsidRPr="000A50F1">
        <w:t>s of millinery materials, at least to the level being assessed, with relevant industry knowledge and experience.</w:t>
      </w:r>
    </w:p>
    <w:p w:rsidR="00000000" w:rsidRPr="000A50F1" w:rsidP="000A50F1">
      <w:pPr>
        <w:pStyle w:val="ListBullet"/>
      </w:pPr>
      <w:r w:rsidRPr="000A50F1">
        <w:t xml:space="preserve">Assessment should occur in operational workplace situations. Where this is not possible, or where personal safety or environmental damage are </w:t>
      </w:r>
      <w:r w:rsidRPr="000A50F1">
        <w:t>limiting factors, assessment must occur in a sufficiently rigorous simulated environment reflecting realistic operational workplace conditions. This must cover all aspects of workplace performance, including environment, task skills, task management skills</w:t>
      </w:r>
      <w:r w:rsidRPr="000A50F1">
        <w:t>, contingency management skills and job role environment skills.</w:t>
      </w:r>
    </w:p>
    <w:p w:rsidR="00000000" w:rsidRPr="000A50F1" w:rsidP="000A50F1">
      <w:pPr>
        <w:pStyle w:val="ListBullet"/>
      </w:pPr>
      <w:r w:rsidRPr="000A50F1">
        <w:t>Assessment processes and techniques must be appropriate to the language, literacy and numeracy requirements of the work being performed and the needs of the candidate.</w:t>
      </w:r>
    </w:p>
    <w:p w:rsidR="00000000" w:rsidRPr="000A50F1" w:rsidP="000A50F1">
      <w:pPr>
        <w:pStyle w:val="ListBullet"/>
      </w:pPr>
      <w:r w:rsidRPr="000A50F1">
        <w:t>Conditions for assessme</w:t>
      </w:r>
      <w:r w:rsidRPr="000A50F1">
        <w:t>nt must include access to all tools, equipment, materials and documentation required, including relevant workplace procedures, product and manufacturing specifications associated with this unit.</w:t>
      </w:r>
    </w:p>
    <w:p w:rsidR="00000000" w:rsidRPr="000A50F1" w:rsidP="000A50F1">
      <w:pPr>
        <w:pStyle w:val="AllowPageBreak"/>
      </w:pPr>
    </w:p>
    <w:p w:rsidR="00000000" w:rsidRPr="000A50F1" w:rsidP="000A50F1">
      <w:pPr>
        <w:pStyle w:val="Heading1"/>
      </w:pPr>
      <w:bookmarkStart w:id="5" w:name="O_934039"/>
      <w:bookmarkEnd w:id="5"/>
      <w:r w:rsidRPr="000A50F1">
        <w:t>Links</w:t>
      </w:r>
    </w:p>
    <w:p w:rsidR="00000000" w:rsidRPr="000A50F1" w:rsidP="00595305">
      <w:pPr>
        <w:pStyle w:val="BodyText"/>
      </w:pPr>
      <w:r w:rsidRPr="000A50F1">
        <w:t>Companion Volume implementation guides</w:t>
      </w:r>
      <w:r w:rsidRPr="000A50F1">
        <w:t xml:space="preserve">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F7F1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50F1" w:rsidP="000A50F1"/>
    <w:sectPr w:rsidSect="000A5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F1" w:rsidRPr="00595305" w:rsidP="00595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05" w:rsidP="000A5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305" w:rsidP="000A5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5305" w:rsidP="000A5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0F1" w:rsidRPr="00595305" w:rsidP="00595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05" w:rsidRPr="002D2AF8" w:rsidP="000A5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MSTML3004 Identify performance and handling requirements of millinery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95305" w:rsidP="000A5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25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25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169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0F1"/>
  </w:style>
  <w:style w:type="character" w:customStyle="1" w:styleId="Heading1Char">
    <w:name w:val="Heading 1 Char"/>
    <w:basedOn w:val="DefaultParagraphFont"/>
    <w:link w:val="Heading1"/>
    <w:rsid w:val="000A5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0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0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0F1"/>
    <w:rPr>
      <w:b/>
      <w:spacing w:val="0"/>
    </w:rPr>
  </w:style>
  <w:style w:type="paragraph" w:customStyle="1" w:styleId="SuperTitle">
    <w:name w:val="SuperTitle"/>
    <w:basedOn w:val="Title"/>
    <w:rsid w:val="000A5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0F1"/>
    <w:rPr>
      <w:i/>
    </w:rPr>
  </w:style>
  <w:style w:type="paragraph" w:styleId="Caption">
    <w:name w:val="caption"/>
    <w:basedOn w:val="BodyText"/>
    <w:next w:val="Normal"/>
    <w:qFormat/>
    <w:rsid w:val="000A5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0F1"/>
  </w:style>
  <w:style w:type="paragraph" w:styleId="TableofFigures">
    <w:name w:val="table of figures"/>
    <w:basedOn w:val="Normal"/>
    <w:next w:val="Normal"/>
    <w:semiHidden/>
    <w:rsid w:val="000A5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0F1"/>
    <w:rPr>
      <w:rFonts w:ascii="Wingdings" w:hAnsi="Wingdings"/>
    </w:rPr>
  </w:style>
  <w:style w:type="paragraph" w:customStyle="1" w:styleId="TableHeading">
    <w:name w:val="Table Heading"/>
    <w:basedOn w:val="HeadingBase"/>
    <w:rsid w:val="000A5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0F1"/>
    <w:rPr>
      <w:color w:val="0033CC"/>
      <w:u w:val="none"/>
    </w:rPr>
  </w:style>
  <w:style w:type="paragraph" w:customStyle="1" w:styleId="BodyTextRight">
    <w:name w:val="Body Text Right"/>
    <w:basedOn w:val="BodyText"/>
    <w:rsid w:val="000A5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0F1"/>
    <w:rPr>
      <w:sz w:val="32"/>
    </w:rPr>
  </w:style>
  <w:style w:type="paragraph" w:customStyle="1" w:styleId="HeadingProcedure">
    <w:name w:val="Heading Procedure"/>
    <w:basedOn w:val="HeadingBase"/>
    <w:next w:val="Normal"/>
    <w:rsid w:val="000A5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0F1"/>
    <w:pPr>
      <w:spacing w:before="60" w:after="60"/>
    </w:pPr>
  </w:style>
  <w:style w:type="paragraph" w:styleId="ListContinue">
    <w:name w:val="List Continue"/>
    <w:basedOn w:val="List"/>
    <w:rsid w:val="000A50F1"/>
    <w:pPr>
      <w:ind w:firstLine="0"/>
    </w:pPr>
  </w:style>
  <w:style w:type="paragraph" w:customStyle="1" w:styleId="ListNote">
    <w:name w:val="List Note"/>
    <w:basedOn w:val="List"/>
    <w:rsid w:val="000A5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0F1"/>
    <w:rPr>
      <w:rFonts w:ascii="Courier New" w:hAnsi="Courier New"/>
    </w:rPr>
  </w:style>
  <w:style w:type="paragraph" w:customStyle="1" w:styleId="NoteBullet">
    <w:name w:val="Note Bullet"/>
    <w:basedOn w:val="Note"/>
    <w:rsid w:val="000A5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0F1"/>
    <w:rPr>
      <w:b/>
      <w:smallCaps/>
    </w:rPr>
  </w:style>
  <w:style w:type="paragraph" w:customStyle="1" w:styleId="TableListNumber">
    <w:name w:val="Table List Number"/>
    <w:basedOn w:val="ListNumber"/>
    <w:rsid w:val="000A5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0F1"/>
    <w:pPr>
      <w:numPr>
        <w:numId w:val="9"/>
      </w:numPr>
    </w:pPr>
  </w:style>
  <w:style w:type="paragraph" w:customStyle="1" w:styleId="ListAlpha2">
    <w:name w:val="List Alpha 2"/>
    <w:basedOn w:val="List2"/>
    <w:rsid w:val="000A50F1"/>
    <w:pPr>
      <w:numPr>
        <w:numId w:val="8"/>
      </w:numPr>
    </w:pPr>
  </w:style>
  <w:style w:type="paragraph" w:styleId="List2">
    <w:name w:val="List 2"/>
    <w:basedOn w:val="BodyText"/>
    <w:rsid w:val="000A5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0F1"/>
    <w:pPr>
      <w:numPr>
        <w:numId w:val="4"/>
      </w:numPr>
    </w:pPr>
  </w:style>
  <w:style w:type="paragraph" w:styleId="ListContinue2">
    <w:name w:val="List Continue 2"/>
    <w:basedOn w:val="List2"/>
    <w:rsid w:val="000A50F1"/>
    <w:pPr>
      <w:ind w:firstLine="0"/>
    </w:pPr>
  </w:style>
  <w:style w:type="paragraph" w:styleId="ListContinue3">
    <w:name w:val="List Continue 3"/>
    <w:basedOn w:val="List3"/>
    <w:rsid w:val="000A50F1"/>
    <w:pPr>
      <w:ind w:left="1021" w:firstLine="0"/>
    </w:pPr>
  </w:style>
  <w:style w:type="paragraph" w:styleId="ListContinue4">
    <w:name w:val="List Continue 4"/>
    <w:basedOn w:val="List4"/>
    <w:rsid w:val="000A50F1"/>
    <w:pPr>
      <w:ind w:firstLine="0"/>
    </w:pPr>
  </w:style>
  <w:style w:type="paragraph" w:styleId="ListContinue5">
    <w:name w:val="List Continue 5"/>
    <w:basedOn w:val="List5"/>
    <w:rsid w:val="000A50F1"/>
    <w:pPr>
      <w:ind w:firstLine="0"/>
    </w:pPr>
  </w:style>
  <w:style w:type="paragraph" w:styleId="ListNumber3">
    <w:name w:val="List Number 3"/>
    <w:basedOn w:val="List3"/>
    <w:rsid w:val="000A50F1"/>
    <w:pPr>
      <w:numPr>
        <w:numId w:val="5"/>
      </w:numPr>
    </w:pPr>
  </w:style>
  <w:style w:type="paragraph" w:styleId="ListNumber4">
    <w:name w:val="List Number 4"/>
    <w:basedOn w:val="List4"/>
    <w:rsid w:val="000A50F1"/>
    <w:pPr>
      <w:numPr>
        <w:numId w:val="6"/>
      </w:numPr>
    </w:pPr>
  </w:style>
  <w:style w:type="paragraph" w:styleId="ListNumber5">
    <w:name w:val="List Number 5"/>
    <w:basedOn w:val="List5"/>
    <w:rsid w:val="000A50F1"/>
    <w:pPr>
      <w:numPr>
        <w:numId w:val="7"/>
      </w:numPr>
    </w:pPr>
  </w:style>
  <w:style w:type="paragraph" w:styleId="BlockText">
    <w:name w:val="Block Text"/>
    <w:basedOn w:val="Normal"/>
    <w:rsid w:val="000A5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0F1"/>
    <w:rPr>
      <w:sz w:val="16"/>
      <w:vertAlign w:val="superscript"/>
    </w:rPr>
  </w:style>
  <w:style w:type="character" w:customStyle="1" w:styleId="Symbols">
    <w:name w:val="Symbols"/>
    <w:basedOn w:val="DefaultParagraphFont"/>
    <w:rsid w:val="000A50F1"/>
    <w:rPr>
      <w:rFonts w:ascii="Symbol" w:hAnsi="Symbol"/>
    </w:rPr>
  </w:style>
  <w:style w:type="character" w:customStyle="1" w:styleId="MenuOptions">
    <w:name w:val="Menu Options"/>
    <w:basedOn w:val="DefaultParagraphFont"/>
    <w:rsid w:val="000A5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0F1"/>
    <w:rPr>
      <w:b/>
    </w:rPr>
  </w:style>
  <w:style w:type="character" w:customStyle="1" w:styleId="Underlined">
    <w:name w:val="Underlined"/>
    <w:basedOn w:val="DefaultParagraphFont"/>
    <w:rsid w:val="000A50F1"/>
    <w:rPr>
      <w:u w:val="single"/>
    </w:rPr>
  </w:style>
  <w:style w:type="paragraph" w:customStyle="1" w:styleId="TableBodyTextRight">
    <w:name w:val="Table Body Text Right"/>
    <w:basedOn w:val="TableBodyText"/>
    <w:rsid w:val="000A5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0F1"/>
    <w:rPr>
      <w:sz w:val="18"/>
    </w:rPr>
  </w:style>
  <w:style w:type="paragraph" w:customStyle="1" w:styleId="BodySmallRight">
    <w:name w:val="Body Small Right"/>
    <w:basedOn w:val="BodyTextRight"/>
    <w:rsid w:val="000A50F1"/>
    <w:rPr>
      <w:sz w:val="18"/>
      <w:szCs w:val="18"/>
    </w:rPr>
  </w:style>
  <w:style w:type="paragraph" w:customStyle="1" w:styleId="MarginEdition">
    <w:name w:val="Margin Edition"/>
    <w:basedOn w:val="MarginNote"/>
    <w:rsid w:val="000A5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0F1"/>
    <w:rPr>
      <w:sz w:val="2"/>
      <w:szCs w:val="2"/>
    </w:rPr>
  </w:style>
  <w:style w:type="character" w:customStyle="1" w:styleId="Small">
    <w:name w:val="Small"/>
    <w:basedOn w:val="DefaultParagraphFont"/>
    <w:rsid w:val="000A50F1"/>
    <w:rPr>
      <w:sz w:val="16"/>
    </w:rPr>
  </w:style>
  <w:style w:type="paragraph" w:customStyle="1" w:styleId="WideTable">
    <w:name w:val="Wide Table"/>
    <w:basedOn w:val="Normal"/>
    <w:rsid w:val="000A5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0F1"/>
  </w:style>
  <w:style w:type="paragraph" w:styleId="Quote">
    <w:name w:val="Quote"/>
    <w:basedOn w:val="Heading1"/>
    <w:link w:val="QuoteChar"/>
    <w:qFormat/>
    <w:rsid w:val="000A5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0F1"/>
    <w:pPr>
      <w:pageBreakBefore/>
    </w:pPr>
  </w:style>
  <w:style w:type="paragraph" w:customStyle="1" w:styleId="Border">
    <w:name w:val="Border"/>
    <w:basedOn w:val="Normal"/>
    <w:qFormat/>
    <w:rsid w:val="000A5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0F1"/>
    <w:rPr>
      <w:u w:val="single"/>
    </w:rPr>
  </w:style>
  <w:style w:type="character" w:customStyle="1" w:styleId="BoldandItalics">
    <w:name w:val="Bold and Italics"/>
    <w:qFormat/>
    <w:rsid w:val="000A50F1"/>
    <w:rPr>
      <w:b/>
      <w:i/>
      <w:u w:val="none"/>
    </w:rPr>
  </w:style>
  <w:style w:type="paragraph" w:styleId="BalloonText">
    <w:name w:val="Balloon Text"/>
    <w:basedOn w:val="Normal"/>
    <w:link w:val="BalloonTextChar"/>
    <w:rsid w:val="000A5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0F1"/>
    <w:pPr>
      <w:spacing w:before="0" w:after="0"/>
    </w:pPr>
  </w:style>
  <w:style w:type="paragraph" w:customStyle="1" w:styleId="BodyTextBold">
    <w:name w:val="Body Text Bold"/>
    <w:basedOn w:val="BodyText"/>
    <w:qFormat/>
    <w:rsid w:val="000A50F1"/>
    <w:rPr>
      <w:b/>
    </w:rPr>
  </w:style>
  <w:style w:type="character" w:styleId="Hyperlink">
    <w:name w:val="Hyperlink"/>
    <w:basedOn w:val="DefaultParagraphFont"/>
    <w:uiPriority w:val="99"/>
    <w:unhideWhenUsed/>
    <w:rsid w:val="00595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3334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MSTML3004 Identify performance and handling requirements of millinery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