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42F3" w:rsidP="00E442F3">
      <w:pPr>
        <w:pStyle w:val="Title"/>
      </w:pPr>
      <w:r>
        <w:fldChar w:fldCharType="begin"/>
      </w:r>
      <w:r>
        <w:instrText xml:space="preserve"> TITLE   \* MERGEFORMAT </w:instrText>
      </w:r>
      <w:r>
        <w:fldChar w:fldCharType="separate"/>
      </w:r>
      <w:r>
        <w:t>MSTML3002 Block and shape complex millinery</w:t>
      </w:r>
      <w:r>
        <w:fldChar w:fldCharType="end"/>
      </w:r>
    </w:p>
    <w:p w:rsidR="00E442F3" w:rsidP="00E442F3">
      <w:pPr>
        <w:pStyle w:val="Version"/>
        <w:sectPr w:rsidSect="000F72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72C0" w:rsidP="000F72C0">
      <w:pPr>
        <w:pStyle w:val="SuperHeading"/>
      </w:pPr>
      <w:r w:rsidRPr="000F72C0">
        <w:t>MSTML3002 Block and shape complex millinery</w:t>
      </w:r>
    </w:p>
    <w:p w:rsidR="00000000" w:rsidRPr="000F72C0" w:rsidP="000F72C0">
      <w:pPr>
        <w:pStyle w:val="Heading1"/>
      </w:pPr>
      <w:bookmarkStart w:id="1" w:name="O_934006"/>
      <w:bookmarkEnd w:id="1"/>
      <w:r w:rsidRPr="000F72C0">
        <w:t>Modification History</w:t>
      </w:r>
    </w:p>
    <w:p w:rsidR="00000000" w:rsidRPr="000F72C0" w:rsidP="00E442F3">
      <w:pPr>
        <w:pStyle w:val="BodyText"/>
      </w:pPr>
      <w:r w:rsidRPr="000F72C0">
        <w:t>Release 1. Supersedes and is equivalent to LMTML3002A Block and shape complex millinery</w:t>
      </w:r>
    </w:p>
    <w:p w:rsidR="00000000" w:rsidRPr="000F72C0" w:rsidP="000F72C0">
      <w:pPr>
        <w:pStyle w:val="Heading1"/>
      </w:pPr>
      <w:bookmarkStart w:id="2" w:name="O_934014"/>
      <w:bookmarkEnd w:id="2"/>
      <w:r w:rsidRPr="000F72C0">
        <w:t>Application</w:t>
      </w:r>
    </w:p>
    <w:p w:rsidR="00000000" w:rsidRPr="000F72C0" w:rsidP="00E442F3">
      <w:pPr>
        <w:pStyle w:val="BodyText"/>
      </w:pPr>
      <w:r w:rsidRPr="000F72C0">
        <w:t>This unit of competency covers the skills and knowledge required to block and shape complex millinery shapes using mil</w:t>
      </w:r>
      <w:r w:rsidRPr="000F72C0">
        <w:t>linery materials and hat blocks.</w:t>
      </w:r>
    </w:p>
    <w:p w:rsidR="00000000" w:rsidRPr="000F72C0" w:rsidP="00E442F3">
      <w:pPr>
        <w:pStyle w:val="BodyText"/>
      </w:pPr>
      <w:r w:rsidRPr="000F72C0">
        <w:t>The unit of competency applies to selecting brim and crown hat blocks appropriate to the complex millinery shape and design, and using manual moulding and shaping operations to block the shapes in suitable millinery materi</w:t>
      </w:r>
      <w:r w:rsidRPr="000F72C0">
        <w:t xml:space="preserve">als.  </w:t>
      </w:r>
    </w:p>
    <w:p w:rsidR="00000000" w:rsidRPr="000F72C0" w:rsidP="00E442F3">
      <w:pPr>
        <w:pStyle w:val="BodyText"/>
      </w:pPr>
      <w:r w:rsidRPr="000F72C0">
        <w:t>Work may be conducted in small to large scale enterprises and may involve individual and team activities.</w:t>
      </w:r>
    </w:p>
    <w:p w:rsidR="00000000" w:rsidRPr="000F72C0" w:rsidP="00E442F3">
      <w:pPr>
        <w:pStyle w:val="BodyText"/>
      </w:pPr>
      <w:r w:rsidRPr="000F72C0">
        <w:t>No licensing, legislative or certification requirements apply to this unit at the time of publication.</w:t>
      </w:r>
    </w:p>
    <w:p w:rsidR="00000000" w:rsidRPr="000F72C0" w:rsidP="000F72C0">
      <w:pPr>
        <w:pStyle w:val="Heading1"/>
      </w:pPr>
      <w:bookmarkStart w:id="3" w:name="O_934013"/>
      <w:bookmarkEnd w:id="3"/>
      <w:r w:rsidRPr="000F72C0">
        <w:t>Pre-requisite Unit</w:t>
      </w:r>
    </w:p>
    <w:tbl>
      <w:tblPr>
        <w:tblW w:w="0" w:type="auto"/>
        <w:tblCellMar>
          <w:left w:w="62" w:type="dxa"/>
          <w:right w:w="62" w:type="dxa"/>
        </w:tblCellMar>
        <w:tblLook w:val="0000"/>
      </w:tblPr>
      <w:tblGrid>
        <w:gridCol w:w="2163"/>
        <w:gridCol w:w="7033"/>
      </w:tblGrid>
      <w:tr w:rsidTr="00E442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72C0">
            <w:pPr>
              <w:pStyle w:val="BodyText"/>
              <w:rPr>
                <w:lang w:val="en-NZ"/>
              </w:rPr>
            </w:pPr>
            <w:r w:rsidRPr="000F72C0">
              <w:t>MS</w:t>
            </w:r>
            <w:r w:rsidRPr="000F72C0">
              <w:t>TML2007</w:t>
            </w:r>
          </w:p>
        </w:tc>
        <w:tc>
          <w:tcPr>
            <w:tcW w:w="0" w:type="auto"/>
            <w:tcBorders>
              <w:top w:val="nil"/>
              <w:left w:val="nil"/>
              <w:bottom w:val="nil"/>
              <w:right w:val="nil"/>
            </w:tcBorders>
            <w:tcMar>
              <w:top w:w="0" w:type="dxa"/>
              <w:left w:w="62" w:type="dxa"/>
              <w:bottom w:w="0" w:type="dxa"/>
              <w:right w:w="62" w:type="dxa"/>
            </w:tcMar>
          </w:tcPr>
          <w:p w:rsidR="00000000" w:rsidP="000F72C0">
            <w:pPr>
              <w:pStyle w:val="BodyText"/>
              <w:rPr>
                <w:lang w:val="en-NZ"/>
              </w:rPr>
            </w:pPr>
            <w:r w:rsidRPr="000F72C0">
              <w:t>Block and shape millinery by hand</w:t>
            </w:r>
          </w:p>
        </w:tc>
      </w:tr>
      <w:tr w:rsidTr="00E442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72C0">
            <w:pPr>
              <w:pStyle w:val="BodyText"/>
              <w:rPr>
                <w:lang w:val="en-NZ"/>
              </w:rPr>
            </w:pPr>
            <w:r w:rsidRPr="000F72C0">
              <w:t>MSTML3004</w:t>
            </w:r>
          </w:p>
        </w:tc>
        <w:tc>
          <w:tcPr>
            <w:tcW w:w="0" w:type="auto"/>
            <w:tcBorders>
              <w:top w:val="nil"/>
              <w:left w:val="nil"/>
              <w:bottom w:val="nil"/>
              <w:right w:val="nil"/>
            </w:tcBorders>
            <w:tcMar>
              <w:top w:w="0" w:type="dxa"/>
              <w:left w:w="62" w:type="dxa"/>
              <w:bottom w:w="0" w:type="dxa"/>
              <w:right w:w="62" w:type="dxa"/>
            </w:tcMar>
          </w:tcPr>
          <w:p w:rsidR="00000000" w:rsidRPr="000F72C0" w:rsidP="000F72C0">
            <w:pPr>
              <w:pStyle w:val="BodyText"/>
            </w:pPr>
            <w:r w:rsidRPr="000F72C0">
              <w:t>Identify performance and handling requirements of millinery materials</w:t>
            </w:r>
          </w:p>
        </w:tc>
      </w:tr>
    </w:tbl>
    <w:p w:rsidR="00000000" w:rsidRPr="000F72C0" w:rsidP="000F72C0">
      <w:pPr>
        <w:pStyle w:val="BodyText"/>
      </w:pPr>
    </w:p>
    <w:p w:rsidR="00000000" w:rsidRPr="000F72C0" w:rsidP="000F72C0">
      <w:pPr>
        <w:pStyle w:val="AllowPageBreak"/>
      </w:pPr>
    </w:p>
    <w:p w:rsidR="00000000" w:rsidRPr="000F72C0" w:rsidP="000F72C0">
      <w:pPr>
        <w:pStyle w:val="Heading1"/>
      </w:pPr>
      <w:bookmarkStart w:id="4" w:name="O_934012"/>
      <w:bookmarkEnd w:id="4"/>
      <w:r w:rsidRPr="000F72C0">
        <w:t>Competency Field</w:t>
      </w:r>
    </w:p>
    <w:p w:rsidR="00000000" w:rsidRPr="000F72C0" w:rsidP="00E442F3">
      <w:pPr>
        <w:pStyle w:val="BodyText"/>
      </w:pPr>
      <w:r w:rsidRPr="000F72C0">
        <w:t>Millinery</w:t>
      </w:r>
    </w:p>
    <w:p w:rsidR="00000000" w:rsidRPr="000F72C0" w:rsidP="000F72C0">
      <w:pPr>
        <w:pStyle w:val="Heading1"/>
      </w:pPr>
      <w:bookmarkStart w:id="5" w:name="O_934011"/>
      <w:bookmarkEnd w:id="5"/>
      <w:r w:rsidRPr="000F72C0">
        <w:t>Unit Sector</w:t>
      </w:r>
    </w:p>
    <w:p w:rsidR="00000000" w:rsidRPr="000F72C0" w:rsidP="00E442F3">
      <w:pPr>
        <w:pStyle w:val="BodyText"/>
      </w:pPr>
      <w:r w:rsidRPr="000F72C0">
        <w:t>Not applicable</w:t>
      </w:r>
    </w:p>
    <w:p w:rsidR="00000000" w:rsidRPr="000F72C0" w:rsidP="000F72C0">
      <w:pPr>
        <w:pStyle w:val="Heading1"/>
      </w:pPr>
      <w:bookmarkStart w:id="6" w:name="O_934010"/>
      <w:bookmarkEnd w:id="6"/>
      <w:r w:rsidRPr="000F72C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F72C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F72C0">
            <w:pPr>
              <w:pStyle w:val="BodyText"/>
              <w:rPr>
                <w:lang w:val="en-NZ"/>
              </w:rPr>
            </w:pPr>
            <w:r w:rsidRPr="000F72C0">
              <w:t xml:space="preserve">Elements describe the </w:t>
            </w:r>
            <w:r w:rsidRPr="000F72C0">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F72C0">
            <w:pPr>
              <w:pStyle w:val="BodyText"/>
              <w:rPr>
                <w:lang w:val="en-NZ"/>
              </w:rPr>
            </w:pPr>
            <w:r w:rsidRPr="000F72C0">
              <w:t xml:space="preserve">Performance criteria describe the performance needed to </w:t>
            </w:r>
            <w:r w:rsidRPr="000F72C0">
              <w:t>demonstrate achievement of the element.</w:t>
            </w:r>
          </w:p>
        </w:tc>
      </w:tr>
      <w:tr w:rsidTr="000F72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F72C0" w:rsidP="000F72C0">
            <w:pPr>
              <w:pStyle w:val="BodyText"/>
            </w:pPr>
            <w:r w:rsidRPr="000F72C0">
              <w:t>1</w:t>
            </w:r>
          </w:p>
        </w:tc>
        <w:tc>
          <w:tcPr>
            <w:tcW w:w="1962" w:type="dxa"/>
            <w:vMerge w:val="restart"/>
            <w:tcBorders>
              <w:top w:val="nil"/>
              <w:left w:val="nil"/>
              <w:bottom w:val="nil"/>
              <w:right w:val="nil"/>
            </w:tcBorders>
            <w:tcMar>
              <w:top w:w="0" w:type="dxa"/>
              <w:left w:w="62" w:type="dxa"/>
              <w:bottom w:w="0" w:type="dxa"/>
              <w:right w:w="62" w:type="dxa"/>
            </w:tcMar>
          </w:tcPr>
          <w:p w:rsidR="00000000" w:rsidRPr="000F72C0" w:rsidP="000F72C0">
            <w:pPr>
              <w:pStyle w:val="BodyText"/>
            </w:pPr>
            <w:r w:rsidRPr="000F72C0">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72C0">
            <w:pPr>
              <w:pStyle w:val="BodyText"/>
              <w:rPr>
                <w:lang w:val="en-NZ"/>
              </w:rPr>
            </w:pPr>
            <w:r w:rsidRPr="000F72C0">
              <w:t>1.1</w:t>
            </w:r>
          </w:p>
        </w:tc>
        <w:tc>
          <w:tcPr>
            <w:tcW w:w="5610" w:type="dxa"/>
            <w:tcBorders>
              <w:top w:val="nil"/>
              <w:left w:val="nil"/>
              <w:bottom w:val="nil"/>
              <w:right w:val="nil"/>
            </w:tcBorders>
            <w:tcMar>
              <w:top w:w="0" w:type="dxa"/>
              <w:left w:w="62" w:type="dxa"/>
              <w:bottom w:w="0" w:type="dxa"/>
              <w:right w:w="62" w:type="dxa"/>
            </w:tcMar>
          </w:tcPr>
          <w:p w:rsidR="00000000" w:rsidP="000F72C0">
            <w:pPr>
              <w:pStyle w:val="BodyText"/>
              <w:rPr>
                <w:lang w:val="en-NZ"/>
              </w:rPr>
            </w:pPr>
            <w:r w:rsidRPr="000F72C0">
              <w:t>Follow standard operating procedures (SOPs)</w:t>
            </w:r>
          </w:p>
        </w:tc>
      </w:tr>
      <w:tr w:rsidTr="000F72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72C0">
            <w:pPr>
              <w:pStyle w:val="BodyText"/>
              <w:rPr>
                <w:lang w:val="en-NZ"/>
              </w:rPr>
            </w:pPr>
            <w:r w:rsidRPr="000F72C0">
              <w:t>1.2</w:t>
            </w:r>
          </w:p>
        </w:tc>
        <w:tc>
          <w:tcPr>
            <w:tcW w:w="5610" w:type="dxa"/>
            <w:tcBorders>
              <w:top w:val="nil"/>
              <w:left w:val="nil"/>
              <w:bottom w:val="nil"/>
              <w:right w:val="nil"/>
            </w:tcBorders>
            <w:tcMar>
              <w:top w:w="0" w:type="dxa"/>
              <w:left w:w="62" w:type="dxa"/>
              <w:bottom w:w="0" w:type="dxa"/>
              <w:right w:w="62" w:type="dxa"/>
            </w:tcMar>
          </w:tcPr>
          <w:p w:rsidR="00000000" w:rsidP="000F72C0">
            <w:pPr>
              <w:pStyle w:val="BodyText"/>
              <w:rPr>
                <w:lang w:val="en-NZ"/>
              </w:rPr>
            </w:pPr>
            <w:r w:rsidRPr="000F72C0">
              <w:t>Comply with work health and safety (WHS) requirements at all times</w:t>
            </w:r>
          </w:p>
        </w:tc>
      </w:tr>
      <w:tr w:rsidTr="000F72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72C0">
            <w:pPr>
              <w:pStyle w:val="BodyText"/>
              <w:rPr>
                <w:lang w:val="en-NZ"/>
              </w:rPr>
            </w:pPr>
            <w:r w:rsidRPr="000F72C0">
              <w:t>1.3</w:t>
            </w:r>
          </w:p>
        </w:tc>
        <w:tc>
          <w:tcPr>
            <w:tcW w:w="5610" w:type="dxa"/>
            <w:tcBorders>
              <w:top w:val="nil"/>
              <w:left w:val="nil"/>
              <w:bottom w:val="nil"/>
              <w:right w:val="nil"/>
            </w:tcBorders>
            <w:tcMar>
              <w:top w:w="0" w:type="dxa"/>
              <w:left w:w="62" w:type="dxa"/>
              <w:bottom w:w="0" w:type="dxa"/>
              <w:right w:w="62" w:type="dxa"/>
            </w:tcMar>
          </w:tcPr>
          <w:p w:rsidR="00000000" w:rsidP="000F72C0">
            <w:pPr>
              <w:pStyle w:val="BodyText"/>
              <w:rPr>
                <w:lang w:val="en-NZ"/>
              </w:rPr>
            </w:pPr>
            <w:r w:rsidRPr="000F72C0">
              <w:t>Use appropriate personal protective equipment (PPE) in accordance with SOPs</w:t>
            </w:r>
          </w:p>
        </w:tc>
      </w:tr>
      <w:tr w:rsidTr="000F72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72C0">
            <w:pPr>
              <w:pStyle w:val="BodyText"/>
              <w:rPr>
                <w:lang w:val="en-NZ"/>
              </w:rPr>
            </w:pPr>
            <w:r w:rsidRPr="000F72C0">
              <w:t>1.4</w:t>
            </w:r>
          </w:p>
        </w:tc>
        <w:tc>
          <w:tcPr>
            <w:tcW w:w="5610" w:type="dxa"/>
            <w:tcBorders>
              <w:top w:val="nil"/>
              <w:left w:val="nil"/>
              <w:bottom w:val="nil"/>
              <w:right w:val="nil"/>
            </w:tcBorders>
            <w:tcMar>
              <w:top w:w="0" w:type="dxa"/>
              <w:left w:w="62" w:type="dxa"/>
              <w:bottom w:w="0" w:type="dxa"/>
              <w:right w:w="62" w:type="dxa"/>
            </w:tcMar>
          </w:tcPr>
          <w:p w:rsidR="00000000" w:rsidP="000F72C0">
            <w:pPr>
              <w:pStyle w:val="BodyText"/>
              <w:rPr>
                <w:lang w:val="en-NZ"/>
              </w:rPr>
            </w:pPr>
            <w:r w:rsidRPr="000F72C0">
              <w:t>Identify job requirements from specifications, drawings, job sheets or work instructions</w:t>
            </w:r>
          </w:p>
        </w:tc>
      </w:tr>
      <w:tr w:rsidTr="000F72C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F72C0">
            <w:pPr>
              <w:pStyle w:val="BodyText"/>
              <w:rPr>
                <w:lang w:val="en-NZ"/>
              </w:rPr>
            </w:pPr>
          </w:p>
        </w:tc>
      </w:tr>
      <w:tr w:rsidTr="000F72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F72C0" w:rsidP="000F72C0">
            <w:pPr>
              <w:pStyle w:val="BodyText"/>
            </w:pPr>
            <w:r w:rsidRPr="000F72C0">
              <w:t>2</w:t>
            </w:r>
          </w:p>
        </w:tc>
        <w:tc>
          <w:tcPr>
            <w:tcW w:w="1962" w:type="dxa"/>
            <w:vMerge w:val="restart"/>
            <w:tcBorders>
              <w:top w:val="nil"/>
              <w:left w:val="nil"/>
              <w:bottom w:val="nil"/>
              <w:right w:val="nil"/>
            </w:tcBorders>
            <w:tcMar>
              <w:top w:w="0" w:type="dxa"/>
              <w:left w:w="62" w:type="dxa"/>
              <w:bottom w:w="0" w:type="dxa"/>
              <w:right w:w="62" w:type="dxa"/>
            </w:tcMar>
          </w:tcPr>
          <w:p w:rsidR="00000000" w:rsidP="000F72C0">
            <w:pPr>
              <w:pStyle w:val="BodyText"/>
              <w:rPr>
                <w:lang w:val="en-NZ"/>
              </w:rPr>
            </w:pPr>
            <w:r w:rsidRPr="000F72C0">
              <w:rPr>
                <w:rStyle w:val="SpecialBold"/>
              </w:rPr>
              <w:t>Prepare to block and shape complex millinery</w:t>
            </w:r>
          </w:p>
        </w:tc>
        <w:tc>
          <w:tcPr>
            <w:tcW w:w="770" w:type="dxa"/>
            <w:tcBorders>
              <w:top w:val="nil"/>
              <w:left w:val="nil"/>
              <w:bottom w:val="nil"/>
              <w:right w:val="nil"/>
            </w:tcBorders>
            <w:tcMar>
              <w:top w:w="0" w:type="dxa"/>
              <w:left w:w="62" w:type="dxa"/>
              <w:bottom w:w="0" w:type="dxa"/>
              <w:right w:w="62" w:type="dxa"/>
            </w:tcMar>
          </w:tcPr>
          <w:p w:rsidR="00000000" w:rsidP="000F72C0">
            <w:pPr>
              <w:pStyle w:val="BodyText"/>
              <w:rPr>
                <w:lang w:val="en-NZ"/>
              </w:rPr>
            </w:pPr>
            <w:r w:rsidRPr="000F72C0">
              <w:t>2.1</w:t>
            </w:r>
          </w:p>
        </w:tc>
        <w:tc>
          <w:tcPr>
            <w:tcW w:w="5610" w:type="dxa"/>
            <w:tcBorders>
              <w:top w:val="nil"/>
              <w:left w:val="nil"/>
              <w:bottom w:val="nil"/>
              <w:right w:val="nil"/>
            </w:tcBorders>
            <w:tcMar>
              <w:top w:w="0" w:type="dxa"/>
              <w:left w:w="62" w:type="dxa"/>
              <w:bottom w:w="0" w:type="dxa"/>
              <w:right w:w="62" w:type="dxa"/>
            </w:tcMar>
          </w:tcPr>
          <w:p w:rsidR="00000000" w:rsidP="000F72C0">
            <w:pPr>
              <w:pStyle w:val="BodyText"/>
              <w:rPr>
                <w:lang w:val="en-NZ"/>
              </w:rPr>
            </w:pPr>
            <w:r w:rsidRPr="000F72C0">
              <w:t xml:space="preserve">Analyse the shapes evident in the millinery design </w:t>
            </w:r>
          </w:p>
        </w:tc>
      </w:tr>
      <w:tr w:rsidTr="000F72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72C0">
            <w:pPr>
              <w:pStyle w:val="BodyText"/>
              <w:rPr>
                <w:lang w:val="en-NZ"/>
              </w:rPr>
            </w:pPr>
            <w:r w:rsidRPr="000F72C0">
              <w:t>2.2</w:t>
            </w:r>
          </w:p>
        </w:tc>
        <w:tc>
          <w:tcPr>
            <w:tcW w:w="5610" w:type="dxa"/>
            <w:tcBorders>
              <w:top w:val="nil"/>
              <w:left w:val="nil"/>
              <w:bottom w:val="nil"/>
              <w:right w:val="nil"/>
            </w:tcBorders>
            <w:tcMar>
              <w:top w:w="0" w:type="dxa"/>
              <w:left w:w="62" w:type="dxa"/>
              <w:bottom w:w="0" w:type="dxa"/>
              <w:right w:w="62" w:type="dxa"/>
            </w:tcMar>
          </w:tcPr>
          <w:p w:rsidR="00000000" w:rsidP="000F72C0">
            <w:pPr>
              <w:pStyle w:val="BodyText"/>
              <w:rPr>
                <w:lang w:val="en-NZ"/>
              </w:rPr>
            </w:pPr>
            <w:r w:rsidRPr="000F72C0">
              <w:t>Examine crown and brim shapes of millinery design</w:t>
            </w:r>
          </w:p>
        </w:tc>
      </w:tr>
      <w:tr w:rsidTr="000F72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72C0">
            <w:pPr>
              <w:pStyle w:val="BodyText"/>
              <w:rPr>
                <w:lang w:val="en-NZ"/>
              </w:rPr>
            </w:pPr>
            <w:r w:rsidRPr="000F72C0">
              <w:t>2.3</w:t>
            </w:r>
          </w:p>
        </w:tc>
        <w:tc>
          <w:tcPr>
            <w:tcW w:w="5610" w:type="dxa"/>
            <w:tcBorders>
              <w:top w:val="nil"/>
              <w:left w:val="nil"/>
              <w:bottom w:val="nil"/>
              <w:right w:val="nil"/>
            </w:tcBorders>
            <w:tcMar>
              <w:top w:w="0" w:type="dxa"/>
              <w:left w:w="62" w:type="dxa"/>
              <w:bottom w:w="0" w:type="dxa"/>
              <w:right w:w="62" w:type="dxa"/>
            </w:tcMar>
          </w:tcPr>
          <w:p w:rsidR="00000000" w:rsidP="000F72C0">
            <w:pPr>
              <w:pStyle w:val="BodyText"/>
              <w:rPr>
                <w:lang w:val="en-NZ"/>
              </w:rPr>
            </w:pPr>
            <w:r w:rsidRPr="000F72C0">
              <w:t>Identify other shapes and secondary components that will need to be blocked</w:t>
            </w:r>
          </w:p>
        </w:tc>
      </w:tr>
      <w:tr w:rsidTr="000F72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72C0">
            <w:pPr>
              <w:pStyle w:val="BodyText"/>
              <w:rPr>
                <w:lang w:val="en-NZ"/>
              </w:rPr>
            </w:pPr>
            <w:r w:rsidRPr="000F72C0">
              <w:t>2.4</w:t>
            </w:r>
          </w:p>
        </w:tc>
        <w:tc>
          <w:tcPr>
            <w:tcW w:w="5610" w:type="dxa"/>
            <w:tcBorders>
              <w:top w:val="nil"/>
              <w:left w:val="nil"/>
              <w:bottom w:val="nil"/>
              <w:right w:val="nil"/>
            </w:tcBorders>
            <w:tcMar>
              <w:top w:w="0" w:type="dxa"/>
              <w:left w:w="62" w:type="dxa"/>
              <w:bottom w:w="0" w:type="dxa"/>
              <w:right w:w="62" w:type="dxa"/>
            </w:tcMar>
          </w:tcPr>
          <w:p w:rsidR="00000000" w:rsidP="000F72C0">
            <w:pPr>
              <w:pStyle w:val="BodyText"/>
              <w:rPr>
                <w:lang w:val="en-NZ"/>
              </w:rPr>
            </w:pPr>
            <w:r w:rsidRPr="000F72C0">
              <w:t>Select millinery materials compatible with design and shapes to be blocked</w:t>
            </w:r>
          </w:p>
        </w:tc>
      </w:tr>
      <w:tr w:rsidTr="000F72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72C0">
            <w:pPr>
              <w:pStyle w:val="BodyText"/>
              <w:rPr>
                <w:lang w:val="en-NZ"/>
              </w:rPr>
            </w:pPr>
            <w:r w:rsidRPr="000F72C0">
              <w:t>2.5</w:t>
            </w:r>
          </w:p>
        </w:tc>
        <w:tc>
          <w:tcPr>
            <w:tcW w:w="5610" w:type="dxa"/>
            <w:tcBorders>
              <w:top w:val="nil"/>
              <w:left w:val="nil"/>
              <w:bottom w:val="nil"/>
              <w:right w:val="nil"/>
            </w:tcBorders>
            <w:tcMar>
              <w:top w:w="0" w:type="dxa"/>
              <w:left w:w="62" w:type="dxa"/>
              <w:bottom w:w="0" w:type="dxa"/>
              <w:right w:w="62" w:type="dxa"/>
            </w:tcMar>
          </w:tcPr>
          <w:p w:rsidR="00000000" w:rsidP="000F72C0">
            <w:pPr>
              <w:pStyle w:val="BodyText"/>
              <w:rPr>
                <w:lang w:val="en-NZ"/>
              </w:rPr>
            </w:pPr>
            <w:r w:rsidRPr="000F72C0">
              <w:t>Select covering and foundation materials for crown and brim</w:t>
            </w:r>
          </w:p>
        </w:tc>
      </w:tr>
      <w:tr w:rsidTr="000F72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72C0">
            <w:pPr>
              <w:pStyle w:val="BodyText"/>
              <w:rPr>
                <w:lang w:val="en-NZ"/>
              </w:rPr>
            </w:pPr>
            <w:r w:rsidRPr="000F72C0">
              <w:t>2.6</w:t>
            </w:r>
          </w:p>
        </w:tc>
        <w:tc>
          <w:tcPr>
            <w:tcW w:w="5610" w:type="dxa"/>
            <w:tcBorders>
              <w:top w:val="nil"/>
              <w:left w:val="nil"/>
              <w:bottom w:val="nil"/>
              <w:right w:val="nil"/>
            </w:tcBorders>
            <w:tcMar>
              <w:top w:w="0" w:type="dxa"/>
              <w:left w:w="62" w:type="dxa"/>
              <w:bottom w:w="0" w:type="dxa"/>
              <w:right w:w="62" w:type="dxa"/>
            </w:tcMar>
          </w:tcPr>
          <w:p w:rsidR="00000000" w:rsidP="000F72C0">
            <w:pPr>
              <w:pStyle w:val="BodyText"/>
              <w:rPr>
                <w:lang w:val="en-NZ"/>
              </w:rPr>
            </w:pPr>
            <w:r w:rsidRPr="000F72C0">
              <w:t>Select covering and foundation materials for blocked secondary components</w:t>
            </w:r>
          </w:p>
        </w:tc>
      </w:tr>
      <w:tr w:rsidTr="000F72C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F72C0">
            <w:pPr>
              <w:pStyle w:val="BodyText"/>
              <w:rPr>
                <w:lang w:val="en-NZ"/>
              </w:rPr>
            </w:pPr>
          </w:p>
        </w:tc>
      </w:tr>
      <w:tr w:rsidTr="000F72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F72C0" w:rsidP="000F72C0">
            <w:pPr>
              <w:pStyle w:val="BodyText"/>
            </w:pPr>
            <w:r w:rsidRPr="000F72C0">
              <w:t>3</w:t>
            </w:r>
          </w:p>
        </w:tc>
        <w:tc>
          <w:tcPr>
            <w:tcW w:w="1962" w:type="dxa"/>
            <w:vMerge w:val="restart"/>
            <w:tcBorders>
              <w:top w:val="nil"/>
              <w:left w:val="nil"/>
              <w:bottom w:val="nil"/>
              <w:right w:val="nil"/>
            </w:tcBorders>
            <w:tcMar>
              <w:top w:w="0" w:type="dxa"/>
              <w:left w:w="62" w:type="dxa"/>
              <w:bottom w:w="0" w:type="dxa"/>
              <w:right w:w="62" w:type="dxa"/>
            </w:tcMar>
          </w:tcPr>
          <w:p w:rsidR="00000000" w:rsidP="000F72C0">
            <w:pPr>
              <w:pStyle w:val="BodyText"/>
              <w:rPr>
                <w:lang w:val="en-NZ"/>
              </w:rPr>
            </w:pPr>
            <w:r w:rsidRPr="000F72C0">
              <w:rPr>
                <w:rStyle w:val="SpecialBold"/>
              </w:rPr>
              <w:t>Select and prepare block</w:t>
            </w:r>
          </w:p>
        </w:tc>
        <w:tc>
          <w:tcPr>
            <w:tcW w:w="770" w:type="dxa"/>
            <w:tcBorders>
              <w:top w:val="nil"/>
              <w:left w:val="nil"/>
              <w:bottom w:val="nil"/>
              <w:right w:val="nil"/>
            </w:tcBorders>
            <w:tcMar>
              <w:top w:w="0" w:type="dxa"/>
              <w:left w:w="62" w:type="dxa"/>
              <w:bottom w:w="0" w:type="dxa"/>
              <w:right w:w="62" w:type="dxa"/>
            </w:tcMar>
          </w:tcPr>
          <w:p w:rsidR="00000000" w:rsidP="000F72C0">
            <w:pPr>
              <w:pStyle w:val="BodyText"/>
              <w:rPr>
                <w:lang w:val="en-NZ"/>
              </w:rPr>
            </w:pPr>
            <w:r w:rsidRPr="000F72C0">
              <w:t>3.1</w:t>
            </w:r>
          </w:p>
        </w:tc>
        <w:tc>
          <w:tcPr>
            <w:tcW w:w="5610" w:type="dxa"/>
            <w:tcBorders>
              <w:top w:val="nil"/>
              <w:left w:val="nil"/>
              <w:bottom w:val="nil"/>
              <w:right w:val="nil"/>
            </w:tcBorders>
            <w:tcMar>
              <w:top w:w="0" w:type="dxa"/>
              <w:left w:w="62" w:type="dxa"/>
              <w:bottom w:w="0" w:type="dxa"/>
              <w:right w:w="62" w:type="dxa"/>
            </w:tcMar>
          </w:tcPr>
          <w:p w:rsidR="00000000" w:rsidP="000F72C0">
            <w:pPr>
              <w:pStyle w:val="BodyText"/>
              <w:rPr>
                <w:lang w:val="en-NZ"/>
              </w:rPr>
            </w:pPr>
            <w:r w:rsidRPr="000F72C0">
              <w:t>Select block to suit design, shapes and materials to be used</w:t>
            </w:r>
          </w:p>
        </w:tc>
      </w:tr>
      <w:tr w:rsidTr="000F72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72C0">
            <w:pPr>
              <w:pStyle w:val="BodyText"/>
              <w:rPr>
                <w:lang w:val="en-NZ"/>
              </w:rPr>
            </w:pPr>
            <w:r w:rsidRPr="000F72C0">
              <w:t>3.2</w:t>
            </w:r>
          </w:p>
        </w:tc>
        <w:tc>
          <w:tcPr>
            <w:tcW w:w="5610" w:type="dxa"/>
            <w:tcBorders>
              <w:top w:val="nil"/>
              <w:left w:val="nil"/>
              <w:bottom w:val="nil"/>
              <w:right w:val="nil"/>
            </w:tcBorders>
            <w:tcMar>
              <w:top w:w="0" w:type="dxa"/>
              <w:left w:w="62" w:type="dxa"/>
              <w:bottom w:w="0" w:type="dxa"/>
              <w:right w:w="62" w:type="dxa"/>
            </w:tcMar>
          </w:tcPr>
          <w:p w:rsidR="00000000" w:rsidP="000F72C0">
            <w:pPr>
              <w:pStyle w:val="BodyText"/>
              <w:rPr>
                <w:lang w:val="en-NZ"/>
              </w:rPr>
            </w:pPr>
            <w:r w:rsidRPr="000F72C0">
              <w:t>Check for compatibility if several blocks are to be used for the one design</w:t>
            </w:r>
          </w:p>
        </w:tc>
      </w:tr>
      <w:tr w:rsidTr="000F72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72C0">
            <w:pPr>
              <w:pStyle w:val="BodyText"/>
              <w:rPr>
                <w:lang w:val="en-NZ"/>
              </w:rPr>
            </w:pPr>
            <w:r w:rsidRPr="000F72C0">
              <w:t>3.3</w:t>
            </w:r>
          </w:p>
        </w:tc>
        <w:tc>
          <w:tcPr>
            <w:tcW w:w="5610" w:type="dxa"/>
            <w:tcBorders>
              <w:top w:val="nil"/>
              <w:left w:val="nil"/>
              <w:bottom w:val="nil"/>
              <w:right w:val="nil"/>
            </w:tcBorders>
            <w:tcMar>
              <w:top w:w="0" w:type="dxa"/>
              <w:left w:w="62" w:type="dxa"/>
              <w:bottom w:w="0" w:type="dxa"/>
              <w:right w:w="62" w:type="dxa"/>
            </w:tcMar>
          </w:tcPr>
          <w:p w:rsidR="00000000" w:rsidP="000F72C0">
            <w:pPr>
              <w:pStyle w:val="BodyText"/>
              <w:rPr>
                <w:lang w:val="en-NZ"/>
              </w:rPr>
            </w:pPr>
            <w:r w:rsidRPr="000F72C0">
              <w:t>Clean and prepare hat blocks</w:t>
            </w:r>
          </w:p>
        </w:tc>
      </w:tr>
      <w:tr w:rsidTr="000F72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72C0">
            <w:pPr>
              <w:pStyle w:val="BodyText"/>
              <w:rPr>
                <w:lang w:val="en-NZ"/>
              </w:rPr>
            </w:pPr>
            <w:r w:rsidRPr="000F72C0">
              <w:t>3.4</w:t>
            </w:r>
          </w:p>
        </w:tc>
        <w:tc>
          <w:tcPr>
            <w:tcW w:w="5610" w:type="dxa"/>
            <w:tcBorders>
              <w:top w:val="nil"/>
              <w:left w:val="nil"/>
              <w:bottom w:val="nil"/>
              <w:right w:val="nil"/>
            </w:tcBorders>
            <w:tcMar>
              <w:top w:w="0" w:type="dxa"/>
              <w:left w:w="62" w:type="dxa"/>
              <w:bottom w:w="0" w:type="dxa"/>
              <w:right w:w="62" w:type="dxa"/>
            </w:tcMar>
          </w:tcPr>
          <w:p w:rsidR="00000000" w:rsidP="000F72C0">
            <w:pPr>
              <w:pStyle w:val="BodyText"/>
              <w:rPr>
                <w:lang w:val="en-NZ"/>
              </w:rPr>
            </w:pPr>
            <w:r w:rsidRPr="000F72C0">
              <w:t>Prepare millinery materials for blocking and shaping processes</w:t>
            </w:r>
          </w:p>
        </w:tc>
      </w:tr>
      <w:tr w:rsidTr="000F72C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F72C0">
            <w:pPr>
              <w:pStyle w:val="BodyText"/>
              <w:rPr>
                <w:lang w:val="en-NZ"/>
              </w:rPr>
            </w:pPr>
          </w:p>
        </w:tc>
      </w:tr>
      <w:tr w:rsidTr="000F72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F72C0" w:rsidP="000F72C0">
            <w:pPr>
              <w:pStyle w:val="BodyText"/>
            </w:pPr>
            <w:r w:rsidRPr="000F72C0">
              <w:t>4</w:t>
            </w:r>
          </w:p>
        </w:tc>
        <w:tc>
          <w:tcPr>
            <w:tcW w:w="1962" w:type="dxa"/>
            <w:vMerge w:val="restart"/>
            <w:tcBorders>
              <w:top w:val="nil"/>
              <w:left w:val="nil"/>
              <w:bottom w:val="nil"/>
              <w:right w:val="nil"/>
            </w:tcBorders>
            <w:tcMar>
              <w:top w:w="0" w:type="dxa"/>
              <w:left w:w="62" w:type="dxa"/>
              <w:bottom w:w="0" w:type="dxa"/>
              <w:right w:w="62" w:type="dxa"/>
            </w:tcMar>
          </w:tcPr>
          <w:p w:rsidR="00000000" w:rsidP="000F72C0">
            <w:pPr>
              <w:pStyle w:val="BodyText"/>
              <w:rPr>
                <w:lang w:val="en-NZ"/>
              </w:rPr>
            </w:pPr>
            <w:r w:rsidRPr="000F72C0">
              <w:rPr>
                <w:rStyle w:val="SpecialBold"/>
              </w:rPr>
              <w:t xml:space="preserve">Block the complex shapes </w:t>
            </w:r>
            <w:r w:rsidRPr="000F72C0">
              <w:rPr>
                <w:rStyle w:val="SpecialBold"/>
              </w:rPr>
              <w:t>by hand</w:t>
            </w:r>
          </w:p>
        </w:tc>
        <w:tc>
          <w:tcPr>
            <w:tcW w:w="770" w:type="dxa"/>
            <w:tcBorders>
              <w:top w:val="nil"/>
              <w:left w:val="nil"/>
              <w:bottom w:val="nil"/>
              <w:right w:val="nil"/>
            </w:tcBorders>
            <w:tcMar>
              <w:top w:w="0" w:type="dxa"/>
              <w:left w:w="62" w:type="dxa"/>
              <w:bottom w:w="0" w:type="dxa"/>
              <w:right w:w="62" w:type="dxa"/>
            </w:tcMar>
          </w:tcPr>
          <w:p w:rsidR="00000000" w:rsidP="000F72C0">
            <w:pPr>
              <w:pStyle w:val="BodyText"/>
              <w:rPr>
                <w:lang w:val="en-NZ"/>
              </w:rPr>
            </w:pPr>
            <w:r w:rsidRPr="000F72C0">
              <w:t>4.1</w:t>
            </w:r>
          </w:p>
        </w:tc>
        <w:tc>
          <w:tcPr>
            <w:tcW w:w="5610" w:type="dxa"/>
            <w:tcBorders>
              <w:top w:val="nil"/>
              <w:left w:val="nil"/>
              <w:bottom w:val="nil"/>
              <w:right w:val="nil"/>
            </w:tcBorders>
            <w:tcMar>
              <w:top w:w="0" w:type="dxa"/>
              <w:left w:w="62" w:type="dxa"/>
              <w:bottom w:w="0" w:type="dxa"/>
              <w:right w:w="62" w:type="dxa"/>
            </w:tcMar>
          </w:tcPr>
          <w:p w:rsidR="00000000" w:rsidP="000F72C0">
            <w:pPr>
              <w:pStyle w:val="BodyText"/>
              <w:rPr>
                <w:lang w:val="en-NZ"/>
              </w:rPr>
            </w:pPr>
            <w:r w:rsidRPr="000F72C0">
              <w:t>Perform initial and final blocking and shaping by hand</w:t>
            </w:r>
          </w:p>
        </w:tc>
      </w:tr>
      <w:tr w:rsidTr="000F72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72C0">
            <w:pPr>
              <w:pStyle w:val="BodyText"/>
              <w:rPr>
                <w:lang w:val="en-NZ"/>
              </w:rPr>
            </w:pPr>
            <w:r w:rsidRPr="000F72C0">
              <w:t>4.2</w:t>
            </w:r>
          </w:p>
        </w:tc>
        <w:tc>
          <w:tcPr>
            <w:tcW w:w="5610" w:type="dxa"/>
            <w:tcBorders>
              <w:top w:val="nil"/>
              <w:left w:val="nil"/>
              <w:bottom w:val="nil"/>
              <w:right w:val="nil"/>
            </w:tcBorders>
            <w:tcMar>
              <w:top w:w="0" w:type="dxa"/>
              <w:left w:w="62" w:type="dxa"/>
              <w:bottom w:w="0" w:type="dxa"/>
              <w:right w:w="62" w:type="dxa"/>
            </w:tcMar>
          </w:tcPr>
          <w:p w:rsidR="00000000" w:rsidP="000F72C0">
            <w:pPr>
              <w:pStyle w:val="BodyText"/>
              <w:rPr>
                <w:lang w:val="en-NZ"/>
              </w:rPr>
            </w:pPr>
            <w:r w:rsidRPr="000F72C0">
              <w:t>Dry block and shape pieces or set on the hat blocks</w:t>
            </w:r>
          </w:p>
        </w:tc>
      </w:tr>
      <w:tr w:rsidTr="000F72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72C0">
            <w:pPr>
              <w:pStyle w:val="BodyText"/>
              <w:rPr>
                <w:lang w:val="en-NZ"/>
              </w:rPr>
            </w:pPr>
            <w:r w:rsidRPr="000F72C0">
              <w:t>4.3</w:t>
            </w:r>
          </w:p>
        </w:tc>
        <w:tc>
          <w:tcPr>
            <w:tcW w:w="5610" w:type="dxa"/>
            <w:tcBorders>
              <w:top w:val="nil"/>
              <w:left w:val="nil"/>
              <w:bottom w:val="nil"/>
              <w:right w:val="nil"/>
            </w:tcBorders>
            <w:tcMar>
              <w:top w:w="0" w:type="dxa"/>
              <w:left w:w="62" w:type="dxa"/>
              <w:bottom w:w="0" w:type="dxa"/>
              <w:right w:w="62" w:type="dxa"/>
            </w:tcMar>
          </w:tcPr>
          <w:p w:rsidR="00000000" w:rsidP="000F72C0">
            <w:pPr>
              <w:pStyle w:val="BodyText"/>
              <w:rPr>
                <w:lang w:val="en-NZ"/>
              </w:rPr>
            </w:pPr>
            <w:r w:rsidRPr="000F72C0">
              <w:t>Add stiffening to the blocked shapes, where req</w:t>
            </w:r>
            <w:r w:rsidRPr="000F72C0">
              <w:t>uired, according to the performance characteristics of the millinery materials</w:t>
            </w:r>
          </w:p>
        </w:tc>
      </w:tr>
      <w:tr w:rsidTr="000F72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72C0">
            <w:pPr>
              <w:pStyle w:val="BodyText"/>
              <w:rPr>
                <w:lang w:val="en-NZ"/>
              </w:rPr>
            </w:pPr>
            <w:r w:rsidRPr="000F72C0">
              <w:t>4.4</w:t>
            </w:r>
          </w:p>
        </w:tc>
        <w:tc>
          <w:tcPr>
            <w:tcW w:w="5610" w:type="dxa"/>
            <w:tcBorders>
              <w:top w:val="nil"/>
              <w:left w:val="nil"/>
              <w:bottom w:val="nil"/>
              <w:right w:val="nil"/>
            </w:tcBorders>
            <w:tcMar>
              <w:top w:w="0" w:type="dxa"/>
              <w:left w:w="62" w:type="dxa"/>
              <w:bottom w:w="0" w:type="dxa"/>
              <w:right w:w="62" w:type="dxa"/>
            </w:tcMar>
          </w:tcPr>
          <w:p w:rsidR="00000000" w:rsidP="000F72C0">
            <w:pPr>
              <w:pStyle w:val="BodyText"/>
              <w:rPr>
                <w:lang w:val="en-NZ"/>
              </w:rPr>
            </w:pPr>
            <w:r w:rsidRPr="000F72C0">
              <w:t xml:space="preserve">Conduct work according to workplace procedures </w:t>
            </w:r>
          </w:p>
        </w:tc>
      </w:tr>
      <w:tr w:rsidTr="000F72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72C0">
            <w:pPr>
              <w:pStyle w:val="BodyText"/>
              <w:rPr>
                <w:lang w:val="en-NZ"/>
              </w:rPr>
            </w:pPr>
            <w:r w:rsidRPr="000F72C0">
              <w:t>4.5</w:t>
            </w:r>
          </w:p>
        </w:tc>
        <w:tc>
          <w:tcPr>
            <w:tcW w:w="5610" w:type="dxa"/>
            <w:tcBorders>
              <w:top w:val="nil"/>
              <w:left w:val="nil"/>
              <w:bottom w:val="nil"/>
              <w:right w:val="nil"/>
            </w:tcBorders>
            <w:tcMar>
              <w:top w:w="0" w:type="dxa"/>
              <w:left w:w="62" w:type="dxa"/>
              <w:bottom w:w="0" w:type="dxa"/>
              <w:right w:w="62" w:type="dxa"/>
            </w:tcMar>
          </w:tcPr>
          <w:p w:rsidR="00000000" w:rsidRPr="000F72C0" w:rsidP="000F72C0">
            <w:pPr>
              <w:pStyle w:val="BodyText"/>
            </w:pPr>
            <w:r w:rsidRPr="000F72C0">
              <w:t>Prepare blocked shapes for the next step in the millinery production process</w:t>
            </w:r>
          </w:p>
        </w:tc>
      </w:tr>
    </w:tbl>
    <w:p w:rsidR="00000000" w:rsidRPr="000F72C0" w:rsidP="000F72C0">
      <w:pPr>
        <w:pStyle w:val="BodyText"/>
      </w:pPr>
    </w:p>
    <w:p w:rsidR="00000000" w:rsidRPr="000F72C0" w:rsidP="000F72C0">
      <w:pPr>
        <w:pStyle w:val="AllowPageBreak"/>
      </w:pPr>
    </w:p>
    <w:p w:rsidR="00000000" w:rsidRPr="000F72C0" w:rsidP="000F72C0">
      <w:pPr>
        <w:pStyle w:val="Heading1"/>
      </w:pPr>
      <w:bookmarkStart w:id="7" w:name="O_934009"/>
      <w:bookmarkEnd w:id="7"/>
      <w:r w:rsidRPr="000F72C0">
        <w:t>Foundation Skills</w:t>
      </w:r>
    </w:p>
    <w:p w:rsidR="00000000" w:rsidRPr="000F72C0" w:rsidP="00E442F3">
      <w:pPr>
        <w:pStyle w:val="BodyText"/>
      </w:pPr>
      <w:r w:rsidRPr="000F72C0">
        <w:t>This section describes those required skills (language, literacy and numeracy) that are essential to performance.</w:t>
      </w:r>
    </w:p>
    <w:p w:rsidR="00000000" w:rsidRPr="000F72C0" w:rsidP="00E442F3">
      <w:pPr>
        <w:pStyle w:val="BodyText"/>
      </w:pPr>
      <w:r w:rsidRPr="000F72C0">
        <w:t>Foundation skills essential to performance are explicit in the performance criteria of this unit of competency.</w:t>
      </w:r>
    </w:p>
    <w:p w:rsidR="00000000" w:rsidRPr="000F72C0" w:rsidP="000F72C0">
      <w:pPr>
        <w:pStyle w:val="Heading1"/>
      </w:pPr>
      <w:bookmarkStart w:id="8" w:name="O_934008"/>
      <w:bookmarkEnd w:id="8"/>
      <w:r w:rsidRPr="000F72C0">
        <w:t>Range of Con</w:t>
      </w:r>
      <w:r w:rsidRPr="000F72C0">
        <w:t>ditions</w:t>
      </w:r>
    </w:p>
    <w:tbl>
      <w:tblPr>
        <w:tblW w:w="0" w:type="auto"/>
        <w:tblCellMar>
          <w:left w:w="62" w:type="dxa"/>
          <w:right w:w="62" w:type="dxa"/>
        </w:tblCellMar>
        <w:tblLook w:val="0000"/>
      </w:tblPr>
      <w:tblGrid>
        <w:gridCol w:w="2163"/>
        <w:gridCol w:w="7033"/>
      </w:tblGrid>
      <w:tr w:rsidTr="00E442F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F72C0">
            <w:pPr>
              <w:pStyle w:val="BodyText"/>
              <w:rPr>
                <w:lang w:val="en-NZ"/>
              </w:rPr>
            </w:pPr>
            <w:r w:rsidRPr="000F72C0">
              <w:t>This field allows for different work environments and conditions that may affect performance. Essential operating conditions that may be present (depending on the work situation, needs of the candidate, accessibility of the item, and local industry</w:t>
            </w:r>
            <w:r w:rsidRPr="000F72C0">
              <w:t xml:space="preserve"> and regional contexts) are included.</w:t>
            </w:r>
          </w:p>
        </w:tc>
      </w:tr>
      <w:tr w:rsidTr="00E442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F72C0" w:rsidP="000F72C0">
            <w:pPr>
              <w:pStyle w:val="BodyText"/>
            </w:pPr>
            <w:r w:rsidRPr="000F72C0">
              <w:rPr>
                <w:rStyle w:val="SpecialBold"/>
              </w:rPr>
              <w:t>Workplace procedures include one or more of the following:</w:t>
            </w:r>
          </w:p>
          <w:p w:rsidR="00000000" w:rsidRPr="000F72C0" w:rsidP="000F72C0">
            <w:pPr>
              <w:pStyle w:val="BodyText"/>
            </w:pPr>
          </w:p>
          <w:p w:rsidR="00000000" w:rsidP="000F72C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0F72C0" w:rsidP="000F72C0">
            <w:pPr>
              <w:pStyle w:val="ListBullet"/>
            </w:pPr>
            <w:r w:rsidRPr="000F72C0">
              <w:t>requirements prescribed by legislation, awards, agreements and conditions of employment</w:t>
            </w:r>
          </w:p>
          <w:p w:rsidR="00000000" w:rsidRPr="000F72C0" w:rsidP="000F72C0">
            <w:pPr>
              <w:pStyle w:val="ListBullet"/>
            </w:pPr>
            <w:r w:rsidRPr="000F72C0">
              <w:t>SOPs</w:t>
            </w:r>
          </w:p>
          <w:p w:rsidR="00000000" w:rsidRPr="000F72C0" w:rsidP="000F72C0">
            <w:pPr>
              <w:pStyle w:val="ListBullet"/>
            </w:pPr>
            <w:r w:rsidRPr="000F72C0">
              <w:t>work instructions</w:t>
            </w:r>
          </w:p>
          <w:p w:rsidR="00000000" w:rsidRPr="000F72C0" w:rsidP="000F72C0">
            <w:pPr>
              <w:pStyle w:val="ListBullet"/>
            </w:pPr>
            <w:r w:rsidRPr="000F72C0">
              <w:t>PPE</w:t>
            </w:r>
          </w:p>
          <w:p w:rsidR="00000000" w:rsidRPr="000F72C0" w:rsidP="000F72C0">
            <w:pPr>
              <w:pStyle w:val="ListBullet"/>
            </w:pPr>
            <w:r w:rsidRPr="000F72C0">
              <w:t>oral, written and visual communication</w:t>
            </w:r>
          </w:p>
          <w:p w:rsidR="00000000" w:rsidRPr="000F72C0" w:rsidP="000F72C0">
            <w:pPr>
              <w:pStyle w:val="ListBullet"/>
            </w:pPr>
            <w:r w:rsidRPr="000F72C0">
              <w:t>quality practices, including responsibility for maintenance of own work quality and contribution to quality improvement of team or section output</w:t>
            </w:r>
          </w:p>
          <w:p w:rsidR="00000000" w:rsidRPr="000F72C0" w:rsidP="000F72C0">
            <w:pPr>
              <w:pStyle w:val="ListBullet"/>
            </w:pPr>
            <w:r w:rsidRPr="000F72C0">
              <w:t>housekeeping</w:t>
            </w:r>
          </w:p>
          <w:p w:rsidR="00000000" w:rsidRPr="000F72C0" w:rsidP="000F72C0">
            <w:pPr>
              <w:pStyle w:val="ListBullet"/>
            </w:pPr>
            <w:r w:rsidRPr="000F72C0">
              <w:t>tasks related to environmental protection, waste disposal, pollution control and recycling</w:t>
            </w:r>
          </w:p>
          <w:p w:rsidR="00000000" w:rsidRPr="000F72C0" w:rsidP="000F72C0">
            <w:pPr>
              <w:pStyle w:val="ListBullet"/>
            </w:pPr>
            <w:r w:rsidRPr="000F72C0">
              <w:t>WHS pr</w:t>
            </w:r>
            <w:r w:rsidRPr="000F72C0">
              <w:t>actices</w:t>
            </w:r>
          </w:p>
          <w:p w:rsidR="00000000" w:rsidP="000F72C0">
            <w:pPr>
              <w:pStyle w:val="BodyText"/>
              <w:rPr>
                <w:lang w:val="en-NZ"/>
              </w:rPr>
            </w:pPr>
          </w:p>
        </w:tc>
      </w:tr>
      <w:tr w:rsidTr="00E442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72C0">
            <w:pPr>
              <w:pStyle w:val="BodyText"/>
              <w:rPr>
                <w:lang w:val="en-NZ"/>
              </w:rPr>
            </w:pPr>
            <w:r w:rsidRPr="000F72C0">
              <w:rPr>
                <w:rStyle w:val="SpecialBold"/>
              </w:rPr>
              <w:t>Complex shapes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F72C0" w:rsidP="000F72C0">
            <w:pPr>
              <w:pStyle w:val="ListBullet"/>
            </w:pPr>
            <w:r w:rsidRPr="000F72C0">
              <w:t xml:space="preserve">a combination of unusual and contrasting shapes </w:t>
            </w:r>
          </w:p>
          <w:p w:rsidR="00000000" w:rsidRPr="000F72C0" w:rsidP="000F72C0">
            <w:pPr>
              <w:pStyle w:val="ListBullet"/>
            </w:pPr>
            <w:r w:rsidRPr="000F72C0">
              <w:t>intricate and complex silhouette</w:t>
            </w:r>
          </w:p>
          <w:p w:rsidR="00000000" w:rsidRPr="000F72C0" w:rsidP="000F72C0">
            <w:pPr>
              <w:pStyle w:val="ListBullet"/>
            </w:pPr>
            <w:r w:rsidRPr="000F72C0">
              <w:t>3-D shapes</w:t>
            </w:r>
          </w:p>
          <w:p w:rsidR="00000000" w:rsidRPr="000F72C0" w:rsidP="000F72C0">
            <w:pPr>
              <w:pStyle w:val="ListBullet"/>
            </w:pPr>
            <w:r w:rsidRPr="000F72C0">
              <w:t>2-D shapes</w:t>
            </w:r>
          </w:p>
          <w:p w:rsidR="00000000" w:rsidRPr="000F72C0" w:rsidP="000F72C0">
            <w:pPr>
              <w:pStyle w:val="ListBullet"/>
            </w:pPr>
            <w:r w:rsidRPr="000F72C0">
              <w:t>harmonious shapes</w:t>
            </w:r>
          </w:p>
          <w:p w:rsidR="00000000" w:rsidRPr="000F72C0" w:rsidP="000F72C0">
            <w:pPr>
              <w:pStyle w:val="ListBullet"/>
            </w:pPr>
            <w:r w:rsidRPr="000F72C0">
              <w:t>contrasting shapes</w:t>
            </w:r>
          </w:p>
          <w:p w:rsidR="00000000" w:rsidRPr="000F72C0" w:rsidP="000F72C0">
            <w:pPr>
              <w:pStyle w:val="ListBullet"/>
            </w:pPr>
            <w:r w:rsidRPr="000F72C0">
              <w:t>concave shapes</w:t>
            </w:r>
          </w:p>
          <w:p w:rsidR="00000000" w:rsidRPr="000F72C0" w:rsidP="000F72C0">
            <w:pPr>
              <w:pStyle w:val="ListBullet"/>
            </w:pPr>
            <w:r w:rsidRPr="000F72C0">
              <w:t>convex shapes</w:t>
            </w:r>
          </w:p>
          <w:p w:rsidR="00000000" w:rsidRPr="000F72C0" w:rsidP="000F72C0">
            <w:pPr>
              <w:pStyle w:val="ListBullet"/>
            </w:pPr>
            <w:r w:rsidRPr="000F72C0">
              <w:t>curvilinear shapes</w:t>
            </w:r>
          </w:p>
          <w:p w:rsidR="00000000" w:rsidRPr="000F72C0" w:rsidP="000F72C0">
            <w:pPr>
              <w:pStyle w:val="ListBullet"/>
            </w:pPr>
            <w:r w:rsidRPr="000F72C0">
              <w:t>combinations of shapes</w:t>
            </w:r>
          </w:p>
          <w:p w:rsidR="00000000" w:rsidP="000F72C0">
            <w:pPr>
              <w:pStyle w:val="BodyText"/>
              <w:rPr>
                <w:lang w:val="en-NZ"/>
              </w:rPr>
            </w:pPr>
          </w:p>
        </w:tc>
      </w:tr>
      <w:tr w:rsidTr="00E442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72C0">
            <w:pPr>
              <w:pStyle w:val="BodyText"/>
              <w:rPr>
                <w:lang w:val="en-NZ"/>
              </w:rPr>
            </w:pPr>
            <w:r w:rsidRPr="000F72C0">
              <w:rPr>
                <w:rStyle w:val="SpecialBold"/>
              </w:rPr>
              <w:t>Prepare millinery materials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F72C0" w:rsidP="000F72C0">
            <w:pPr>
              <w:pStyle w:val="ListBullet"/>
            </w:pPr>
            <w:r w:rsidRPr="000F72C0">
              <w:t>confirming the selection of materials according to the design</w:t>
            </w:r>
          </w:p>
          <w:p w:rsidR="00000000" w:rsidRPr="000F72C0" w:rsidP="000F72C0">
            <w:pPr>
              <w:pStyle w:val="ListBullet"/>
            </w:pPr>
            <w:r w:rsidRPr="000F72C0">
              <w:t xml:space="preserve">confirming that selected materials are suited to the blocking and shaping process </w:t>
            </w:r>
          </w:p>
          <w:p w:rsidR="00000000" w:rsidRPr="000F72C0" w:rsidP="000F72C0">
            <w:pPr>
              <w:pStyle w:val="ListBullet"/>
            </w:pPr>
            <w:r w:rsidRPr="000F72C0">
              <w:t>cutting materials to a manageable size, if required</w:t>
            </w:r>
          </w:p>
          <w:p w:rsidR="00000000" w:rsidRPr="000F72C0" w:rsidP="000F72C0">
            <w:pPr>
              <w:pStyle w:val="ListBullet"/>
            </w:pPr>
            <w:r w:rsidRPr="000F72C0">
              <w:t>identifying handling and performance characteristics of the millinery materials</w:t>
            </w:r>
          </w:p>
          <w:p w:rsidR="00000000" w:rsidRPr="000F72C0" w:rsidP="000F72C0">
            <w:pPr>
              <w:pStyle w:val="ListBullet"/>
            </w:pPr>
            <w:r w:rsidRPr="000F72C0">
              <w:t>steaming and/or moistening the materials according to identified handling and performance characteristics of the materials</w:t>
            </w:r>
          </w:p>
        </w:tc>
      </w:tr>
    </w:tbl>
    <w:p w:rsidR="00000000" w:rsidRPr="000F72C0" w:rsidP="000F72C0">
      <w:pPr>
        <w:pStyle w:val="BodyText"/>
      </w:pPr>
    </w:p>
    <w:p w:rsidR="00000000" w:rsidRPr="000F72C0" w:rsidP="000F72C0">
      <w:pPr>
        <w:pStyle w:val="AllowPageBreak"/>
      </w:pPr>
    </w:p>
    <w:p w:rsidR="00000000" w:rsidRPr="000F72C0" w:rsidP="000F72C0">
      <w:pPr>
        <w:pStyle w:val="Heading1"/>
      </w:pPr>
      <w:bookmarkStart w:id="9" w:name="O_934007"/>
      <w:bookmarkEnd w:id="9"/>
      <w:r w:rsidRPr="000F72C0">
        <w:t>Unit Mapping Information</w:t>
      </w:r>
    </w:p>
    <w:p w:rsidR="00000000" w:rsidRPr="000F72C0" w:rsidP="00E442F3">
      <w:pPr>
        <w:pStyle w:val="BodyText"/>
      </w:pPr>
      <w:r w:rsidRPr="000F72C0">
        <w:t>Release 1. Supersedes and is equivalent to LMTML3002A Block and shape complex millinery</w:t>
      </w:r>
    </w:p>
    <w:p w:rsidR="00000000" w:rsidRPr="000F72C0" w:rsidP="000F72C0">
      <w:pPr>
        <w:pStyle w:val="Heading1"/>
      </w:pPr>
      <w:bookmarkStart w:id="10" w:name="O_934000"/>
      <w:bookmarkEnd w:id="10"/>
      <w:r w:rsidRPr="000F72C0">
        <w:t>Links</w:t>
      </w:r>
    </w:p>
    <w:p w:rsidR="00000000" w:rsidRPr="000F72C0" w:rsidP="00E442F3">
      <w:pPr>
        <w:pStyle w:val="BodyText"/>
      </w:pPr>
      <w:r w:rsidRPr="000F72C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EA6EBD">
        <w:rPr>
          <w:rStyle w:val="Hyperlink"/>
        </w:rPr>
        <w:t>https://vetnet.gov.au/Pages/TrainingDocs.aspx?q=a203ec5c-de7d-406b-b3e1-8f1a9b76e92e</w:t>
      </w:r>
      <w:r>
        <w:fldChar w:fldCharType="end"/>
      </w:r>
    </w:p>
    <w:p w:rsidR="00000000" w:rsidRPr="000F72C0" w:rsidP="00E442F3">
      <w:pPr>
        <w:pStyle w:val="BodyText"/>
        <w:sectPr w:rsidSect="000F72C0">
          <w:headerReference w:type="default" r:id="rId10"/>
          <w:footerReference w:type="default" r:id="rId11"/>
          <w:pgSz w:w="11908" w:h="16833"/>
          <w:pgMar w:top="1702" w:right="1418" w:bottom="1702" w:left="1418" w:header="992" w:footer="992" w:gutter="0"/>
          <w:cols w:space="720"/>
          <w:noEndnote/>
          <w:docGrid w:linePitch="299"/>
        </w:sectPr>
      </w:pPr>
    </w:p>
    <w:p w:rsidR="00000000" w:rsidRPr="000F72C0" w:rsidP="000F72C0">
      <w:pPr>
        <w:pStyle w:val="SuperHeading"/>
      </w:pPr>
      <w:r w:rsidRPr="000F72C0">
        <w:t>Assessment Requirements for MSTML3002 Block and shape complex m</w:t>
      </w:r>
      <w:r w:rsidRPr="000F72C0">
        <w:t>illinery</w:t>
      </w:r>
    </w:p>
    <w:p w:rsidR="00000000" w:rsidRPr="000F72C0" w:rsidP="000F72C0">
      <w:pPr>
        <w:pStyle w:val="Heading1"/>
      </w:pPr>
      <w:bookmarkStart w:id="11" w:name="O_934002"/>
      <w:bookmarkEnd w:id="11"/>
      <w:r w:rsidRPr="000F72C0">
        <w:t>Modification History</w:t>
      </w:r>
    </w:p>
    <w:p w:rsidR="00000000" w:rsidRPr="000F72C0" w:rsidP="00E442F3">
      <w:pPr>
        <w:pStyle w:val="BodyText"/>
      </w:pPr>
      <w:r w:rsidRPr="000F72C0">
        <w:t>Release 1. Supersedes and is equivalent to LMTML3002A Block and shape complex millinery</w:t>
      </w:r>
    </w:p>
    <w:p w:rsidR="00000000" w:rsidRPr="000F72C0" w:rsidP="000F72C0">
      <w:pPr>
        <w:pStyle w:val="Heading1"/>
      </w:pPr>
      <w:bookmarkStart w:id="12" w:name="O_934005"/>
      <w:bookmarkEnd w:id="12"/>
      <w:r w:rsidRPr="000F72C0">
        <w:t>Performance Evidence</w:t>
      </w:r>
    </w:p>
    <w:p w:rsidR="00000000" w:rsidRPr="000F72C0" w:rsidP="00E442F3">
      <w:pPr>
        <w:pStyle w:val="BodyText"/>
      </w:pPr>
      <w:r w:rsidRPr="000F72C0">
        <w:t>Evidence required</w:t>
      </w:r>
      <w:r w:rsidRPr="000F72C0">
        <w:t xml:space="preserve"> to demonstrate competence in this unit must be relevant to and satisfy the requirements of the elements and performance criteria, and include:</w:t>
      </w:r>
    </w:p>
    <w:p w:rsidR="00000000" w:rsidRPr="000F72C0" w:rsidP="000F72C0">
      <w:pPr>
        <w:pStyle w:val="ListBullet"/>
      </w:pPr>
      <w:r w:rsidRPr="000F72C0">
        <w:t xml:space="preserve">reading and following work instructions, standard operating procedures (SOPs), safe work practices </w:t>
      </w:r>
    </w:p>
    <w:p w:rsidR="00000000" w:rsidRPr="000F72C0" w:rsidP="000F72C0">
      <w:pPr>
        <w:pStyle w:val="ListBullet"/>
      </w:pPr>
      <w:r w:rsidRPr="000F72C0">
        <w:t>analysing a</w:t>
      </w:r>
      <w:r w:rsidRPr="000F72C0">
        <w:t xml:space="preserve"> millinery design to determine crown and brim shapes and shapes of other components </w:t>
      </w:r>
    </w:p>
    <w:p w:rsidR="00000000" w:rsidRPr="000F72C0" w:rsidP="000F72C0">
      <w:pPr>
        <w:pStyle w:val="ListBullet"/>
      </w:pPr>
      <w:r w:rsidRPr="000F72C0">
        <w:t>assessing suitability of millinery materials and components to the blocking and shaping operations required of the millinery design</w:t>
      </w:r>
    </w:p>
    <w:p w:rsidR="00000000" w:rsidRPr="000F72C0" w:rsidP="000F72C0">
      <w:pPr>
        <w:pStyle w:val="ListBullet"/>
      </w:pPr>
      <w:r w:rsidRPr="000F72C0">
        <w:t>identifying performance characteristics</w:t>
      </w:r>
      <w:r w:rsidRPr="000F72C0">
        <w:t xml:space="preserve"> and handling of the selected millinery materials and components</w:t>
      </w:r>
    </w:p>
    <w:p w:rsidR="00000000" w:rsidRPr="000F72C0" w:rsidP="000F72C0">
      <w:pPr>
        <w:pStyle w:val="ListBullet"/>
      </w:pPr>
      <w:r w:rsidRPr="000F72C0">
        <w:t>preparing and manipulating traditional and non-traditional millinery materials to produce required shapes using hat blocks</w:t>
      </w:r>
    </w:p>
    <w:p w:rsidR="00000000" w:rsidRPr="000F72C0" w:rsidP="000F72C0">
      <w:pPr>
        <w:pStyle w:val="ListBullet"/>
      </w:pPr>
      <w:r w:rsidRPr="000F72C0">
        <w:t xml:space="preserve">using manual initial and final blocking and shaping techniques with </w:t>
      </w:r>
      <w:r w:rsidRPr="000F72C0">
        <w:t>hat blocks to achieve at least two (2) complex millinery shapes</w:t>
      </w:r>
    </w:p>
    <w:p w:rsidR="00000000" w:rsidRPr="000F72C0" w:rsidP="000F72C0">
      <w:pPr>
        <w:pStyle w:val="ListBullet"/>
      </w:pPr>
      <w:r w:rsidRPr="000F72C0">
        <w:t>finalising complex blocked shapes for millinery with an intricate and complex silhouette on at least two (2) occasions</w:t>
      </w:r>
    </w:p>
    <w:p w:rsidR="00000000" w:rsidRPr="000F72C0" w:rsidP="000F72C0">
      <w:pPr>
        <w:pStyle w:val="ListBullet"/>
      </w:pPr>
      <w:r w:rsidRPr="000F72C0">
        <w:t>preparing blocked shapes for the next step in the millinery production pr</w:t>
      </w:r>
      <w:r w:rsidRPr="000F72C0">
        <w:t>ocess</w:t>
      </w:r>
    </w:p>
    <w:p w:rsidR="00000000" w:rsidRPr="000F72C0" w:rsidP="000F72C0">
      <w:pPr>
        <w:pStyle w:val="ListBullet"/>
      </w:pPr>
      <w:r w:rsidRPr="000F72C0">
        <w:t>applying workplace procedures.</w:t>
      </w:r>
    </w:p>
    <w:p w:rsidR="00000000" w:rsidRPr="000F72C0" w:rsidP="000F72C0">
      <w:pPr>
        <w:pStyle w:val="AllowPageBreak"/>
      </w:pPr>
    </w:p>
    <w:p w:rsidR="00000000" w:rsidRPr="000F72C0" w:rsidP="000F72C0">
      <w:pPr>
        <w:pStyle w:val="Heading1"/>
      </w:pPr>
      <w:bookmarkStart w:id="13" w:name="O_934004"/>
      <w:bookmarkEnd w:id="13"/>
      <w:r w:rsidRPr="000F72C0">
        <w:t>Knowledge Evidence</w:t>
      </w:r>
    </w:p>
    <w:p w:rsidR="00000000" w:rsidRPr="000F72C0" w:rsidP="00E442F3">
      <w:pPr>
        <w:pStyle w:val="BodyText"/>
      </w:pPr>
      <w:r w:rsidRPr="000F72C0">
        <w:t>Evidence must be provided that demonstrates knowledge of:</w:t>
      </w:r>
    </w:p>
    <w:p w:rsidR="00000000" w:rsidRPr="000F72C0" w:rsidP="000F72C0">
      <w:pPr>
        <w:pStyle w:val="ListBullet"/>
      </w:pPr>
      <w:r w:rsidRPr="000F72C0">
        <w:t>safe work practices and procedures and use of personal protective equipment (PPE)</w:t>
      </w:r>
    </w:p>
    <w:p w:rsidR="00000000" w:rsidRPr="000F72C0" w:rsidP="000F72C0">
      <w:pPr>
        <w:pStyle w:val="ListBullet"/>
      </w:pPr>
      <w:r w:rsidRPr="000F72C0">
        <w:t>the performance characteristics and handling of millinery materials</w:t>
      </w:r>
    </w:p>
    <w:p w:rsidR="00000000" w:rsidRPr="000F72C0" w:rsidP="000F72C0">
      <w:pPr>
        <w:pStyle w:val="ListBullet"/>
      </w:pPr>
      <w:r w:rsidRPr="000F72C0">
        <w:t>industry and product processes and equipment</w:t>
      </w:r>
    </w:p>
    <w:p w:rsidR="00000000" w:rsidRPr="000F72C0" w:rsidP="000F72C0">
      <w:pPr>
        <w:pStyle w:val="ListBullet"/>
      </w:pPr>
      <w:r w:rsidRPr="000F72C0">
        <w:t>preparation of hat blocks:</w:t>
      </w:r>
    </w:p>
    <w:p w:rsidR="00000000" w:rsidRPr="000F72C0" w:rsidP="000F72C0">
      <w:pPr>
        <w:pStyle w:val="ListBullet2"/>
      </w:pPr>
      <w:r w:rsidRPr="000F72C0">
        <w:t>modifying the shape or head size of existing blocks</w:t>
      </w:r>
    </w:p>
    <w:p w:rsidR="00000000" w:rsidRPr="000F72C0" w:rsidP="000F72C0">
      <w:pPr>
        <w:pStyle w:val="ListBullet2"/>
      </w:pPr>
      <w:r w:rsidRPr="000F72C0">
        <w:t>cleaning and removing any unwanted previous markings</w:t>
      </w:r>
    </w:p>
    <w:p w:rsidR="00000000" w:rsidRPr="000F72C0" w:rsidP="000F72C0">
      <w:pPr>
        <w:pStyle w:val="ListBullet2"/>
      </w:pPr>
      <w:r w:rsidRPr="000F72C0">
        <w:t>applying a</w:t>
      </w:r>
      <w:r w:rsidRPr="000F72C0">
        <w:t xml:space="preserve"> protective covering to the hat block </w:t>
      </w:r>
    </w:p>
    <w:p w:rsidR="00000000" w:rsidRPr="000F72C0" w:rsidP="000F72C0">
      <w:pPr>
        <w:pStyle w:val="ListBullet2"/>
      </w:pPr>
      <w:r w:rsidRPr="000F72C0">
        <w:t>selecting a spinner or stand for the hat block</w:t>
      </w:r>
    </w:p>
    <w:p w:rsidR="00000000" w:rsidRPr="000F72C0" w:rsidP="000F72C0">
      <w:pPr>
        <w:pStyle w:val="ListBullet"/>
      </w:pPr>
      <w:r w:rsidRPr="000F72C0">
        <w:t>environmental aspects associated with the use of millinery solvents and adhesives</w:t>
      </w:r>
    </w:p>
    <w:p w:rsidR="00000000" w:rsidRPr="000F72C0" w:rsidP="000F72C0">
      <w:pPr>
        <w:pStyle w:val="ListBullet"/>
      </w:pPr>
      <w:r w:rsidRPr="000F72C0">
        <w:t>measures associated with the use of millinery solvents and adhesives</w:t>
      </w:r>
    </w:p>
    <w:p w:rsidR="00000000" w:rsidRPr="000F72C0" w:rsidP="000F72C0">
      <w:pPr>
        <w:pStyle w:val="ListBullet"/>
      </w:pPr>
      <w:r w:rsidRPr="000F72C0">
        <w:t>performance characteristics and handling of the selected millinery materials and components</w:t>
      </w:r>
    </w:p>
    <w:p w:rsidR="00000000" w:rsidRPr="000F72C0" w:rsidP="000F72C0">
      <w:pPr>
        <w:pStyle w:val="ListBullet"/>
      </w:pPr>
      <w:r w:rsidRPr="000F72C0">
        <w:t>complex millinery shapes:</w:t>
      </w:r>
    </w:p>
    <w:p w:rsidR="00000000" w:rsidRPr="000F72C0" w:rsidP="000F72C0">
      <w:pPr>
        <w:pStyle w:val="ListBullet2"/>
      </w:pPr>
      <w:r w:rsidRPr="000F72C0">
        <w:t xml:space="preserve">a combination of unusual and contrasting shapes </w:t>
      </w:r>
    </w:p>
    <w:p w:rsidR="00000000" w:rsidRPr="000F72C0" w:rsidP="000F72C0">
      <w:pPr>
        <w:pStyle w:val="ListBullet2"/>
      </w:pPr>
      <w:r w:rsidRPr="000F72C0">
        <w:t>intricate and complex silhouette</w:t>
      </w:r>
    </w:p>
    <w:p w:rsidR="00000000" w:rsidRPr="000F72C0" w:rsidP="000F72C0">
      <w:pPr>
        <w:pStyle w:val="ListBullet2"/>
      </w:pPr>
      <w:r w:rsidRPr="000F72C0">
        <w:t>3-D shapes</w:t>
      </w:r>
    </w:p>
    <w:p w:rsidR="00000000" w:rsidRPr="000F72C0" w:rsidP="000F72C0">
      <w:pPr>
        <w:pStyle w:val="ListBullet2"/>
      </w:pPr>
      <w:r w:rsidRPr="000F72C0">
        <w:t>2-D shapes</w:t>
      </w:r>
    </w:p>
    <w:p w:rsidR="00000000" w:rsidRPr="000F72C0" w:rsidP="000F72C0">
      <w:pPr>
        <w:pStyle w:val="ListBullet2"/>
      </w:pPr>
      <w:r w:rsidRPr="000F72C0">
        <w:t>harmonious shapes</w:t>
      </w:r>
    </w:p>
    <w:p w:rsidR="00000000" w:rsidRPr="000F72C0" w:rsidP="000F72C0">
      <w:pPr>
        <w:pStyle w:val="ListBullet2"/>
      </w:pPr>
      <w:r w:rsidRPr="000F72C0">
        <w:t>contrasting sha</w:t>
      </w:r>
      <w:r w:rsidRPr="000F72C0">
        <w:t>pes</w:t>
      </w:r>
    </w:p>
    <w:p w:rsidR="00000000" w:rsidRPr="000F72C0" w:rsidP="000F72C0">
      <w:pPr>
        <w:pStyle w:val="ListBullet2"/>
      </w:pPr>
      <w:r w:rsidRPr="000F72C0">
        <w:t>concave shapes</w:t>
      </w:r>
    </w:p>
    <w:p w:rsidR="00000000" w:rsidRPr="000F72C0" w:rsidP="000F72C0">
      <w:pPr>
        <w:pStyle w:val="ListBullet2"/>
      </w:pPr>
      <w:r w:rsidRPr="000F72C0">
        <w:t>convex shapes</w:t>
      </w:r>
    </w:p>
    <w:p w:rsidR="00000000" w:rsidRPr="000F72C0" w:rsidP="000F72C0">
      <w:pPr>
        <w:pStyle w:val="ListBullet2"/>
      </w:pPr>
      <w:r w:rsidRPr="000F72C0">
        <w:t>curvilinear shapes</w:t>
      </w:r>
    </w:p>
    <w:p w:rsidR="00000000" w:rsidRPr="000F72C0" w:rsidP="000F72C0">
      <w:pPr>
        <w:pStyle w:val="ListBullet2"/>
      </w:pPr>
      <w:r w:rsidRPr="000F72C0">
        <w:t>combinations of shapes</w:t>
      </w:r>
    </w:p>
    <w:p w:rsidR="00000000" w:rsidRPr="000F72C0" w:rsidP="000F72C0">
      <w:pPr>
        <w:pStyle w:val="ListBullet"/>
      </w:pPr>
      <w:r w:rsidRPr="000F72C0">
        <w:t>blocked secondary components:</w:t>
      </w:r>
    </w:p>
    <w:p w:rsidR="00000000" w:rsidRPr="000F72C0" w:rsidP="000F72C0">
      <w:pPr>
        <w:pStyle w:val="ListBullet2"/>
      </w:pPr>
      <w:r w:rsidRPr="000F72C0">
        <w:t>trims</w:t>
      </w:r>
    </w:p>
    <w:p w:rsidR="00000000" w:rsidRPr="000F72C0" w:rsidP="000F72C0">
      <w:pPr>
        <w:pStyle w:val="ListBullet2"/>
      </w:pPr>
      <w:r w:rsidRPr="000F72C0">
        <w:t>functional extensions (e.g. collars)</w:t>
      </w:r>
    </w:p>
    <w:p w:rsidR="00000000" w:rsidRPr="000F72C0" w:rsidP="000F72C0">
      <w:pPr>
        <w:pStyle w:val="ListBullet2"/>
      </w:pPr>
      <w:r w:rsidRPr="000F72C0">
        <w:t>aesthetic extensions</w:t>
      </w:r>
    </w:p>
    <w:p w:rsidR="00000000" w:rsidRPr="000F72C0" w:rsidP="000F72C0">
      <w:pPr>
        <w:pStyle w:val="ListBullet"/>
      </w:pPr>
      <w:r w:rsidRPr="000F72C0">
        <w:t>suitability of millinery materials and components to the blocking and shaping operations required of the millinery design</w:t>
      </w:r>
    </w:p>
    <w:p w:rsidR="00000000" w:rsidRPr="000F72C0" w:rsidP="000F72C0">
      <w:pPr>
        <w:pStyle w:val="ListBullet"/>
      </w:pPr>
      <w:r w:rsidRPr="000F72C0">
        <w:t>workplace procedures</w:t>
      </w:r>
    </w:p>
    <w:p w:rsidR="00000000" w:rsidRPr="000F72C0" w:rsidP="000F72C0">
      <w:pPr>
        <w:pStyle w:val="ListBullet"/>
      </w:pPr>
      <w:r w:rsidRPr="000F72C0">
        <w:t xml:space="preserve">recording and reporting practices. </w:t>
      </w:r>
    </w:p>
    <w:p w:rsidR="00000000" w:rsidRPr="000F72C0" w:rsidP="000F72C0">
      <w:pPr>
        <w:pStyle w:val="AllowPageBreak"/>
      </w:pPr>
    </w:p>
    <w:p w:rsidR="00000000" w:rsidRPr="000F72C0" w:rsidP="000F72C0">
      <w:pPr>
        <w:pStyle w:val="Heading1"/>
      </w:pPr>
      <w:bookmarkStart w:id="14" w:name="O_934003"/>
      <w:bookmarkEnd w:id="14"/>
      <w:r w:rsidRPr="000F72C0">
        <w:t>Assessment Conditions</w:t>
      </w:r>
    </w:p>
    <w:p w:rsidR="00000000" w:rsidRPr="000F72C0" w:rsidP="000F72C0">
      <w:pPr>
        <w:pStyle w:val="ListBullet"/>
      </w:pPr>
      <w:r w:rsidRPr="000F72C0">
        <w:t>Assessors must:</w:t>
      </w:r>
    </w:p>
    <w:p w:rsidR="00000000" w:rsidRPr="000F72C0" w:rsidP="000F72C0">
      <w:pPr>
        <w:pStyle w:val="ListBullet2"/>
      </w:pPr>
      <w:r w:rsidRPr="000F72C0">
        <w:t>satisfy the assessor</w:t>
      </w:r>
      <w:r w:rsidRPr="000F72C0">
        <w:t xml:space="preserve"> competency requirements that are in place at the time of the assessment, as set by the VET regulator</w:t>
      </w:r>
    </w:p>
    <w:p w:rsidR="00000000" w:rsidRPr="000F72C0" w:rsidP="000F72C0">
      <w:pPr>
        <w:pStyle w:val="ListBullet2"/>
      </w:pPr>
      <w:r w:rsidRPr="000F72C0">
        <w:t>have vocational competency in blocking and shaping complex millinery, at least to the level being assessed, with relevant industry knowledge and experienc</w:t>
      </w:r>
      <w:r w:rsidRPr="000F72C0">
        <w:t>e.</w:t>
      </w:r>
    </w:p>
    <w:p w:rsidR="00000000" w:rsidRPr="000F72C0" w:rsidP="000F72C0">
      <w:pPr>
        <w:pStyle w:val="ListBullet"/>
      </w:pPr>
      <w:r w:rsidRPr="000F72C0">
        <w:t xml:space="preserve">Assessment should occur in operational workplace situations. Where this is not possible, or where personal safety or environmental damage are limiting factors, assessment must occur in a sufficiently rigorous simulated environment reflecting realistic </w:t>
      </w:r>
      <w:r w:rsidRPr="000F72C0">
        <w:t>operational workplace conditions. This must cover all aspects of workplace performance, including environment, task skills, task management skills, contingency management skills and job role environment skills.</w:t>
      </w:r>
    </w:p>
    <w:p w:rsidR="00000000" w:rsidRPr="000F72C0" w:rsidP="000F72C0">
      <w:pPr>
        <w:pStyle w:val="ListBullet"/>
      </w:pPr>
      <w:r w:rsidRPr="000F72C0">
        <w:t>Assessment processes and techniques must be appropriate to the language, literacy and numeracy requirements of the work being performed and the needs of the candidate.</w:t>
      </w:r>
    </w:p>
    <w:p w:rsidR="00000000" w:rsidRPr="000F72C0" w:rsidP="000F72C0">
      <w:pPr>
        <w:pStyle w:val="ListBullet"/>
      </w:pPr>
      <w:r w:rsidRPr="000F72C0">
        <w:t>Conditions for assessment must include access to all tools, equipment, materials and doc</w:t>
      </w:r>
      <w:r w:rsidRPr="000F72C0">
        <w:t>umentation required including relevant workplace procedures, product and manufacturing specifications associated with this unit.</w:t>
      </w:r>
    </w:p>
    <w:p w:rsidR="00000000" w:rsidRPr="000F72C0" w:rsidP="000F72C0">
      <w:pPr>
        <w:pStyle w:val="AllowPageBreak"/>
      </w:pPr>
    </w:p>
    <w:p w:rsidR="00000000" w:rsidRPr="000F72C0" w:rsidP="000F72C0">
      <w:pPr>
        <w:pStyle w:val="Heading1"/>
      </w:pPr>
      <w:bookmarkStart w:id="15" w:name="O_934001"/>
      <w:bookmarkEnd w:id="15"/>
      <w:r w:rsidRPr="000F72C0">
        <w:t>Links</w:t>
      </w:r>
    </w:p>
    <w:p w:rsidR="00000000" w:rsidRPr="000F72C0" w:rsidP="00E442F3">
      <w:pPr>
        <w:pStyle w:val="BodyText"/>
      </w:pPr>
      <w:r w:rsidRPr="000F72C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EA6EBD">
        <w:rPr>
          <w:rStyle w:val="Hyperlink"/>
        </w:rPr>
        <w:t>https://vetnet.gov.au/Pages/TrainingDocs.aspx?q=a203ec5c-de7d-406b-b3e1-8f1a9b76e92e</w:t>
      </w:r>
      <w:r>
        <w:fldChar w:fldCharType="end"/>
      </w:r>
    </w:p>
    <w:p w:rsidR="00000000" w:rsidRPr="000F72C0" w:rsidP="000F72C0"/>
    <w:sectPr w:rsidSect="000F72C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2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2C0" w:rsidRPr="00E442F3" w:rsidP="00E442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2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2F3" w:rsidP="000F72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442F3" w:rsidP="000F72C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442F3" w:rsidP="000F72C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2C0" w:rsidP="000F72C0">
    <w:pPr>
      <w:pStyle w:val="Footer"/>
      <w:framePr w:wrap="around"/>
    </w:pPr>
    <w:r>
      <w:fldChar w:fldCharType="begin"/>
    </w:r>
    <w:r>
      <w:instrText xml:space="preserve"> DOCPROPERTY  Subject  \* MERGEFORMAT </w:instrText>
    </w:r>
    <w:r>
      <w:fldChar w:fldCharType="separate"/>
    </w:r>
    <w:r w:rsidR="00E442F3">
      <w:t>Approved</w:t>
    </w:r>
    <w:r w:rsidR="00E442F3">
      <w:fldChar w:fldCharType="end"/>
    </w:r>
    <w:r>
      <w:tab/>
      <w:t xml:space="preserve">Page </w:t>
    </w:r>
    <w:r>
      <w:fldChar w:fldCharType="begin"/>
    </w:r>
    <w:r>
      <w:instrText xml:space="preserve"> PAGE  \* Arabic  \* MERGEFORMAT </w:instrText>
    </w:r>
    <w:r>
      <w:fldChar w:fldCharType="separate"/>
    </w:r>
    <w:r w:rsidR="00E442F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42F3">
      <w:rPr>
        <w:noProof/>
      </w:rPr>
      <w:t>5</w:t>
    </w:r>
    <w:r>
      <w:rPr>
        <w:noProof/>
      </w:rPr>
      <w:fldChar w:fldCharType="end"/>
    </w:r>
  </w:p>
  <w:p w:rsidR="000F72C0" w:rsidP="000F72C0">
    <w:pPr>
      <w:pStyle w:val="Footer"/>
      <w:framePr w:wrap="around"/>
    </w:pPr>
    <w:r>
      <w:t xml:space="preserve">© Commonwealth of Australia, </w:t>
    </w:r>
    <w:r>
      <w:fldChar w:fldCharType="begin"/>
    </w:r>
    <w:r>
      <w:instrText xml:space="preserve"> DATE  \@ "yyyy"  \* MERGEFORMAT </w:instrText>
    </w:r>
    <w:r>
      <w:fldChar w:fldCharType="separate"/>
    </w:r>
    <w:r w:rsidR="00E442F3">
      <w:rPr>
        <w:noProof/>
      </w:rPr>
      <w:t>2025</w:t>
    </w:r>
    <w:r>
      <w:fldChar w:fldCharType="end"/>
    </w:r>
    <w:r>
      <w:tab/>
    </w:r>
    <w:r>
      <w:fldChar w:fldCharType="begin"/>
    </w:r>
    <w:r>
      <w:instrText xml:space="preserve"> DOCPROPERTY  Author  \* MERGEFORMAT </w:instrText>
    </w:r>
    <w:r>
      <w:fldChar w:fldCharType="separate"/>
    </w:r>
    <w:r w:rsidR="00E442F3">
      <w:t>Skills Insight</w:t>
    </w:r>
    <w:r w:rsidR="00E442F3">
      <w:fldChar w:fldCharType="end"/>
    </w:r>
  </w:p>
  <w:p w:rsidR="000F72C0" w:rsidP="000F72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2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2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72C0" w:rsidRPr="00E442F3" w:rsidP="00E442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2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2F3" w:rsidRPr="002D2AF8" w:rsidP="000F72C0">
    <w:pPr>
      <w:pStyle w:val="Header"/>
      <w:framePr w:wrap="around"/>
    </w:pPr>
    <w:r>
      <w:fldChar w:fldCharType="begin"/>
    </w:r>
    <w:r>
      <w:instrText xml:space="preserve"> TITLE   \* MERGEFORMAT </w:instrText>
    </w:r>
    <w:r>
      <w:fldChar w:fldCharType="separate"/>
    </w:r>
    <w:r>
      <w:t>MSTML3002 Block and shape complex millinery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442F3" w:rsidP="000F72C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2C0" w:rsidRPr="002D2AF8" w:rsidP="000F72C0">
    <w:pPr>
      <w:pStyle w:val="Header"/>
      <w:framePr w:wrap="around"/>
    </w:pPr>
    <w:r>
      <w:fldChar w:fldCharType="begin"/>
    </w:r>
    <w:r>
      <w:instrText xml:space="preserve"> TITLE   \* MERGEFORMAT </w:instrText>
    </w:r>
    <w:r>
      <w:fldChar w:fldCharType="separate"/>
    </w:r>
    <w:r w:rsidR="00E442F3">
      <w:t>MSTML3002 Block and shape complex millinery</w:t>
    </w:r>
    <w:r w:rsidR="00E442F3">
      <w:fldChar w:fldCharType="end"/>
    </w:r>
    <w:r>
      <w:tab/>
      <w:t xml:space="preserve">Date this document was generated: </w:t>
    </w:r>
    <w:r>
      <w:fldChar w:fldCharType="begin"/>
    </w:r>
    <w:r>
      <w:instrText xml:space="preserve"> CREATEDATE  \@ "d MMMM yyyy"  \* MERGEFORMAT </w:instrText>
    </w:r>
    <w:r>
      <w:fldChar w:fldCharType="separate"/>
    </w:r>
    <w:r w:rsidR="00E442F3">
      <w:rPr>
        <w:noProof/>
      </w:rPr>
      <w:t>1 March 2025</w:t>
    </w:r>
    <w:r>
      <w:fldChar w:fldCharType="end"/>
    </w:r>
  </w:p>
  <w:p w:rsidR="000F72C0" w:rsidP="000F72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181E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B877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34BC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72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72C0"/>
    <w:pPr>
      <w:spacing w:before="360" w:after="60"/>
      <w:outlineLvl w:val="0"/>
    </w:pPr>
    <w:rPr>
      <w:sz w:val="32"/>
    </w:rPr>
  </w:style>
  <w:style w:type="paragraph" w:styleId="Heading2">
    <w:name w:val="heading 2"/>
    <w:basedOn w:val="HeadingBase"/>
    <w:next w:val="BodyText"/>
    <w:link w:val="Heading2Char"/>
    <w:qFormat/>
    <w:rsid w:val="000F72C0"/>
    <w:pPr>
      <w:keepLines/>
      <w:spacing w:before="240" w:after="120"/>
      <w:outlineLvl w:val="1"/>
    </w:pPr>
    <w:rPr>
      <w:sz w:val="28"/>
      <w:szCs w:val="40"/>
    </w:rPr>
  </w:style>
  <w:style w:type="paragraph" w:styleId="Heading3">
    <w:name w:val="heading 3"/>
    <w:basedOn w:val="HeadingBase"/>
    <w:next w:val="BodyText"/>
    <w:link w:val="Heading3Char"/>
    <w:qFormat/>
    <w:rsid w:val="000F72C0"/>
    <w:pPr>
      <w:spacing w:before="180" w:after="120"/>
      <w:outlineLvl w:val="2"/>
    </w:pPr>
    <w:rPr>
      <w:spacing w:val="-10"/>
      <w:kern w:val="32"/>
    </w:rPr>
  </w:style>
  <w:style w:type="paragraph" w:styleId="Heading4">
    <w:name w:val="heading 4"/>
    <w:basedOn w:val="HeadingBase"/>
    <w:next w:val="BodyText"/>
    <w:link w:val="Heading4Char"/>
    <w:qFormat/>
    <w:rsid w:val="000F72C0"/>
    <w:pPr>
      <w:spacing w:before="160" w:after="120"/>
      <w:outlineLvl w:val="3"/>
    </w:pPr>
    <w:rPr>
      <w:sz w:val="22"/>
    </w:rPr>
  </w:style>
  <w:style w:type="paragraph" w:styleId="Heading5">
    <w:name w:val="heading 5"/>
    <w:basedOn w:val="HeadingBase"/>
    <w:next w:val="Normal"/>
    <w:link w:val="Heading5Char"/>
    <w:qFormat/>
    <w:rsid w:val="000F72C0"/>
    <w:pPr>
      <w:spacing w:before="80"/>
      <w:outlineLvl w:val="4"/>
    </w:pPr>
    <w:rPr>
      <w:color w:val="918585"/>
      <w:sz w:val="20"/>
    </w:rPr>
  </w:style>
  <w:style w:type="paragraph" w:styleId="Heading6">
    <w:name w:val="heading 6"/>
    <w:basedOn w:val="HeadingBase"/>
    <w:next w:val="Normal"/>
    <w:link w:val="Heading6Char"/>
    <w:qFormat/>
    <w:rsid w:val="000F72C0"/>
    <w:pPr>
      <w:spacing w:before="60"/>
      <w:outlineLvl w:val="5"/>
    </w:pPr>
    <w:rPr>
      <w:color w:val="918585"/>
      <w:sz w:val="20"/>
    </w:rPr>
  </w:style>
  <w:style w:type="paragraph" w:styleId="Heading7">
    <w:name w:val="heading 7"/>
    <w:basedOn w:val="Normal"/>
    <w:next w:val="Normal"/>
    <w:link w:val="Heading7Char"/>
    <w:qFormat/>
    <w:rsid w:val="000F72C0"/>
    <w:pPr>
      <w:ind w:left="720"/>
      <w:outlineLvl w:val="6"/>
    </w:pPr>
    <w:rPr>
      <w:i/>
    </w:rPr>
  </w:style>
  <w:style w:type="paragraph" w:styleId="Heading8">
    <w:name w:val="heading 8"/>
    <w:basedOn w:val="Normal"/>
    <w:next w:val="Normal"/>
    <w:link w:val="Heading8Char"/>
    <w:qFormat/>
    <w:rsid w:val="000F72C0"/>
    <w:pPr>
      <w:ind w:left="720"/>
      <w:outlineLvl w:val="7"/>
    </w:pPr>
    <w:rPr>
      <w:i/>
    </w:rPr>
  </w:style>
  <w:style w:type="paragraph" w:styleId="Heading9">
    <w:name w:val="heading 9"/>
    <w:basedOn w:val="Normal"/>
    <w:next w:val="Normal"/>
    <w:link w:val="Heading9Char"/>
    <w:qFormat/>
    <w:rsid w:val="000F72C0"/>
    <w:pPr>
      <w:ind w:left="720"/>
      <w:outlineLvl w:val="8"/>
    </w:pPr>
    <w:rPr>
      <w:i/>
    </w:rPr>
  </w:style>
  <w:style w:type="character" w:default="1" w:styleId="DefaultParagraphFont">
    <w:name w:val="Default Paragraph Font"/>
    <w:uiPriority w:val="1"/>
    <w:unhideWhenUsed/>
    <w:rsid w:val="000F72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72C0"/>
  </w:style>
  <w:style w:type="character" w:customStyle="1" w:styleId="Heading1Char">
    <w:name w:val="Heading 1 Char"/>
    <w:basedOn w:val="DefaultParagraphFont"/>
    <w:link w:val="Heading1"/>
    <w:rsid w:val="000F72C0"/>
    <w:rPr>
      <w:rFonts w:ascii="Times New Roman" w:eastAsia="Times New Roman" w:hAnsi="Times New Roman" w:cs="Times New Roman"/>
      <w:b/>
      <w:sz w:val="32"/>
      <w:szCs w:val="20"/>
      <w:lang w:eastAsia="en-US"/>
    </w:rPr>
  </w:style>
  <w:style w:type="paragraph" w:styleId="BodyText">
    <w:name w:val="Body Text"/>
    <w:basedOn w:val="Normal"/>
    <w:link w:val="BodyTextChar"/>
    <w:rsid w:val="000F72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72C0"/>
    <w:rPr>
      <w:rFonts w:ascii="Times New Roman" w:eastAsia="Times New Roman" w:hAnsi="Times New Roman" w:cs="Times New Roman"/>
      <w:sz w:val="24"/>
      <w:lang w:eastAsia="en-US"/>
    </w:rPr>
  </w:style>
  <w:style w:type="paragraph" w:styleId="ListBullet">
    <w:name w:val="List Bullet"/>
    <w:basedOn w:val="List"/>
    <w:rsid w:val="000F72C0"/>
    <w:pPr>
      <w:numPr>
        <w:numId w:val="12"/>
      </w:numPr>
      <w:tabs>
        <w:tab w:val="clear" w:pos="340"/>
      </w:tabs>
      <w:spacing w:before="40" w:after="40"/>
    </w:pPr>
  </w:style>
  <w:style w:type="character" w:customStyle="1" w:styleId="SpecialBold">
    <w:name w:val="Special Bold"/>
    <w:basedOn w:val="DefaultParagraphFont"/>
    <w:rsid w:val="000F72C0"/>
    <w:rPr>
      <w:b/>
      <w:spacing w:val="0"/>
    </w:rPr>
  </w:style>
  <w:style w:type="paragraph" w:styleId="ListBullet2">
    <w:name w:val="List Bullet 2"/>
    <w:basedOn w:val="List2"/>
    <w:rsid w:val="000F72C0"/>
    <w:pPr>
      <w:numPr>
        <w:numId w:val="13"/>
      </w:numPr>
      <w:tabs>
        <w:tab w:val="clear" w:pos="680"/>
      </w:tabs>
    </w:pPr>
  </w:style>
  <w:style w:type="paragraph" w:customStyle="1" w:styleId="SuperHeading">
    <w:name w:val="SuperHeading"/>
    <w:basedOn w:val="Normal"/>
    <w:rsid w:val="000F72C0"/>
    <w:pPr>
      <w:spacing w:before="240" w:after="120"/>
      <w:outlineLvl w:val="0"/>
    </w:pPr>
    <w:rPr>
      <w:rFonts w:ascii="Times New Roman" w:hAnsi="Times New Roman"/>
      <w:b/>
      <w:sz w:val="32"/>
    </w:rPr>
  </w:style>
  <w:style w:type="paragraph" w:customStyle="1" w:styleId="AllowPageBreak">
    <w:name w:val="AllowPageBreak"/>
    <w:rsid w:val="000F72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72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72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72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72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72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72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72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72C0"/>
    <w:rPr>
      <w:rFonts w:ascii="Courier New" w:eastAsia="Times New Roman" w:hAnsi="Courier New" w:cs="Times New Roman"/>
      <w:i/>
      <w:szCs w:val="20"/>
      <w:lang w:eastAsia="en-US"/>
    </w:rPr>
  </w:style>
  <w:style w:type="paragraph" w:customStyle="1" w:styleId="HeadingBase">
    <w:name w:val="Heading Base"/>
    <w:rsid w:val="000F72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72C0"/>
    <w:pPr>
      <w:tabs>
        <w:tab w:val="right" w:leader="dot" w:pos="9072"/>
      </w:tabs>
      <w:ind w:left="567"/>
    </w:pPr>
    <w:rPr>
      <w:szCs w:val="22"/>
    </w:rPr>
  </w:style>
  <w:style w:type="paragraph" w:customStyle="1" w:styleId="TOCBase">
    <w:name w:val="TOC Base"/>
    <w:rsid w:val="000F72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72C0"/>
    <w:pPr>
      <w:tabs>
        <w:tab w:val="right" w:leader="dot" w:pos="9072"/>
      </w:tabs>
      <w:spacing w:before="40" w:after="40"/>
      <w:ind w:left="284"/>
    </w:pPr>
    <w:rPr>
      <w:rFonts w:ascii="Times New Roman" w:hAnsi="Times New Roman"/>
    </w:rPr>
  </w:style>
  <w:style w:type="paragraph" w:styleId="TOC1">
    <w:name w:val="toc 1"/>
    <w:basedOn w:val="TOCBase"/>
    <w:next w:val="Normal"/>
    <w:rsid w:val="000F72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72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72C0"/>
    <w:rPr>
      <w:rFonts w:ascii="Times New Roman" w:eastAsia="Times New Roman" w:hAnsi="Times New Roman" w:cs="Times New Roman"/>
      <w:sz w:val="16"/>
      <w:lang w:eastAsia="en-US"/>
    </w:rPr>
  </w:style>
  <w:style w:type="paragraph" w:styleId="Title">
    <w:name w:val="Title"/>
    <w:basedOn w:val="HeadingBase"/>
    <w:link w:val="TitleChar"/>
    <w:qFormat/>
    <w:rsid w:val="000F72C0"/>
    <w:pPr>
      <w:spacing w:before="5040"/>
      <w:jc w:val="center"/>
    </w:pPr>
    <w:rPr>
      <w:sz w:val="48"/>
      <w:szCs w:val="72"/>
      <w:lang w:val="en-US"/>
    </w:rPr>
  </w:style>
  <w:style w:type="character" w:customStyle="1" w:styleId="TitleChar">
    <w:name w:val="Title Char"/>
    <w:basedOn w:val="DefaultParagraphFont"/>
    <w:link w:val="Title"/>
    <w:rsid w:val="000F72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72C0"/>
    <w:pPr>
      <w:tabs>
        <w:tab w:val="left" w:pos="3600"/>
        <w:tab w:val="left" w:pos="3958"/>
      </w:tabs>
    </w:pPr>
  </w:style>
  <w:style w:type="paragraph" w:styleId="List">
    <w:name w:val="List"/>
    <w:basedOn w:val="BodyText"/>
    <w:next w:val="BodyText"/>
    <w:rsid w:val="000F72C0"/>
    <w:pPr>
      <w:tabs>
        <w:tab w:val="left" w:pos="340"/>
      </w:tabs>
      <w:spacing w:before="60" w:after="60"/>
      <w:ind w:left="340" w:hanging="340"/>
    </w:pPr>
  </w:style>
  <w:style w:type="paragraph" w:customStyle="1" w:styleId="Note">
    <w:name w:val="Note"/>
    <w:basedOn w:val="BodyText"/>
    <w:rsid w:val="000F72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72C0"/>
    <w:pPr>
      <w:framePr w:wrap="auto" w:hAnchor="text" w:y="6049"/>
    </w:pPr>
    <w:rPr>
      <w:color w:val="000000"/>
      <w:sz w:val="40"/>
    </w:rPr>
  </w:style>
  <w:style w:type="paragraph" w:customStyle="1" w:styleId="TOCTitle">
    <w:name w:val="TOCTitle"/>
    <w:basedOn w:val="Heading1"/>
    <w:rsid w:val="000F72C0"/>
    <w:pPr>
      <w:spacing w:after="240"/>
      <w:jc w:val="center"/>
      <w:outlineLvl w:val="9"/>
    </w:pPr>
    <w:rPr>
      <w:caps/>
    </w:rPr>
  </w:style>
  <w:style w:type="paragraph" w:customStyle="1" w:styleId="Version">
    <w:name w:val="Version"/>
    <w:rsid w:val="000F72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72C0"/>
    <w:pPr>
      <w:keepNext w:val="0"/>
      <w:tabs>
        <w:tab w:val="right" w:pos="4176"/>
      </w:tabs>
      <w:ind w:left="198" w:hanging="198"/>
    </w:pPr>
    <w:rPr>
      <w:rFonts w:ascii="Garamond" w:hAnsi="Garamond"/>
    </w:rPr>
  </w:style>
  <w:style w:type="paragraph" w:styleId="IndexHeading">
    <w:name w:val="index heading"/>
    <w:basedOn w:val="Normal"/>
    <w:next w:val="Index1"/>
    <w:semiHidden/>
    <w:rsid w:val="000F72C0"/>
    <w:pPr>
      <w:spacing w:before="120" w:after="120"/>
    </w:pPr>
    <w:rPr>
      <w:rFonts w:ascii="Arial" w:hAnsi="Arial"/>
      <w:b/>
      <w:color w:val="918585"/>
      <w:sz w:val="24"/>
    </w:rPr>
  </w:style>
  <w:style w:type="paragraph" w:styleId="Header">
    <w:name w:val="header"/>
    <w:basedOn w:val="Normal"/>
    <w:link w:val="HeaderChar"/>
    <w:rsid w:val="000F72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72C0"/>
    <w:rPr>
      <w:rFonts w:ascii="Times New Roman" w:eastAsia="Times New Roman" w:hAnsi="Times New Roman" w:cs="Times New Roman"/>
      <w:sz w:val="16"/>
      <w:szCs w:val="20"/>
      <w:lang w:val="en-GB" w:eastAsia="en-US"/>
    </w:rPr>
  </w:style>
  <w:style w:type="paragraph" w:customStyle="1" w:styleId="Chapter">
    <w:name w:val="Chapter"/>
    <w:basedOn w:val="Normal"/>
    <w:rsid w:val="000F72C0"/>
    <w:pPr>
      <w:spacing w:before="240"/>
    </w:pPr>
    <w:rPr>
      <w:rFonts w:ascii="Times New Roman" w:hAnsi="Times New Roman"/>
      <w:smallCaps/>
      <w:spacing w:val="80"/>
      <w:sz w:val="28"/>
    </w:rPr>
  </w:style>
  <w:style w:type="paragraph" w:customStyle="1" w:styleId="InChapter">
    <w:name w:val="InChapter"/>
    <w:basedOn w:val="Heading3"/>
    <w:rsid w:val="000F72C0"/>
    <w:pPr>
      <w:spacing w:after="240"/>
      <w:outlineLvl w:val="9"/>
    </w:pPr>
    <w:rPr>
      <w:noProof/>
    </w:rPr>
  </w:style>
  <w:style w:type="paragraph" w:styleId="Index2">
    <w:name w:val="index 2"/>
    <w:basedOn w:val="Normal"/>
    <w:next w:val="Normal"/>
    <w:semiHidden/>
    <w:rsid w:val="000F72C0"/>
    <w:pPr>
      <w:tabs>
        <w:tab w:val="right" w:pos="4176"/>
      </w:tabs>
      <w:ind w:left="568" w:hanging="284"/>
    </w:pPr>
    <w:rPr>
      <w:rFonts w:ascii="Garamond" w:hAnsi="Garamond"/>
    </w:rPr>
  </w:style>
  <w:style w:type="paragraph" w:customStyle="1" w:styleId="Byline">
    <w:name w:val="Byline"/>
    <w:rsid w:val="000F72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72C0"/>
    <w:pPr>
      <w:tabs>
        <w:tab w:val="clear" w:pos="3600"/>
        <w:tab w:val="clear" w:pos="3958"/>
      </w:tabs>
      <w:jc w:val="right"/>
    </w:pPr>
  </w:style>
  <w:style w:type="character" w:styleId="Emphasis">
    <w:name w:val="Emphasis"/>
    <w:basedOn w:val="DefaultParagraphFont"/>
    <w:qFormat/>
    <w:rsid w:val="000F72C0"/>
    <w:rPr>
      <w:i/>
    </w:rPr>
  </w:style>
  <w:style w:type="paragraph" w:styleId="Caption">
    <w:name w:val="caption"/>
    <w:basedOn w:val="BodyText"/>
    <w:next w:val="Normal"/>
    <w:qFormat/>
    <w:rsid w:val="000F72C0"/>
    <w:pPr>
      <w:framePr w:w="2268" w:hSpace="181" w:vSpace="181" w:wrap="around" w:vAnchor="text" w:hAnchor="page" w:x="1135" w:y="285" w:anchorLock="1"/>
    </w:pPr>
    <w:rPr>
      <w:i/>
    </w:rPr>
  </w:style>
  <w:style w:type="paragraph" w:customStyle="1" w:styleId="MiniTOCTitle">
    <w:name w:val="MiniTOCTitle"/>
    <w:basedOn w:val="Heading4"/>
    <w:rsid w:val="000F72C0"/>
    <w:pPr>
      <w:spacing w:before="240"/>
      <w:outlineLvl w:val="9"/>
    </w:pPr>
    <w:rPr>
      <w:noProof/>
      <w:sz w:val="24"/>
    </w:rPr>
  </w:style>
  <w:style w:type="paragraph" w:customStyle="1" w:styleId="MiniTOCItem">
    <w:name w:val="MiniTOCItem"/>
    <w:basedOn w:val="ListBullet"/>
    <w:rsid w:val="000F72C0"/>
    <w:pPr>
      <w:numPr>
        <w:numId w:val="0"/>
      </w:numPr>
      <w:tabs>
        <w:tab w:val="right" w:leader="dot" w:pos="6521"/>
      </w:tabs>
      <w:spacing w:before="0" w:after="0"/>
    </w:pPr>
  </w:style>
  <w:style w:type="paragraph" w:customStyle="1" w:styleId="TOFTitle">
    <w:name w:val="TOFTitle"/>
    <w:basedOn w:val="TOCTitle"/>
    <w:rsid w:val="000F72C0"/>
  </w:style>
  <w:style w:type="paragraph" w:styleId="TableofFigures">
    <w:name w:val="table of figures"/>
    <w:basedOn w:val="Normal"/>
    <w:next w:val="Normal"/>
    <w:semiHidden/>
    <w:rsid w:val="000F72C0"/>
    <w:pPr>
      <w:tabs>
        <w:tab w:val="right" w:leader="dot" w:pos="9072"/>
      </w:tabs>
      <w:ind w:left="970" w:hanging="403"/>
    </w:pPr>
    <w:rPr>
      <w:rFonts w:ascii="Times New Roman" w:hAnsi="Times New Roman"/>
      <w:b/>
    </w:rPr>
  </w:style>
  <w:style w:type="paragraph" w:styleId="ListNumber">
    <w:name w:val="List Number"/>
    <w:basedOn w:val="List"/>
    <w:rsid w:val="000F72C0"/>
    <w:pPr>
      <w:numPr>
        <w:numId w:val="15"/>
      </w:numPr>
      <w:tabs>
        <w:tab w:val="clear" w:pos="340"/>
      </w:tabs>
    </w:pPr>
  </w:style>
  <w:style w:type="character" w:customStyle="1" w:styleId="WingdingSymbols">
    <w:name w:val="Wingding Symbols"/>
    <w:rsid w:val="000F72C0"/>
    <w:rPr>
      <w:rFonts w:ascii="Wingdings" w:hAnsi="Wingdings"/>
    </w:rPr>
  </w:style>
  <w:style w:type="paragraph" w:customStyle="1" w:styleId="TableHeading">
    <w:name w:val="Table Heading"/>
    <w:basedOn w:val="HeadingBase"/>
    <w:rsid w:val="000F72C0"/>
    <w:pPr>
      <w:keepLines/>
      <w:pBdr>
        <w:bottom w:val="single" w:sz="6" w:space="1" w:color="918585"/>
      </w:pBdr>
      <w:spacing w:before="240"/>
    </w:pPr>
  </w:style>
  <w:style w:type="character" w:customStyle="1" w:styleId="HotSpot">
    <w:name w:val="HotSpot"/>
    <w:rsid w:val="000F72C0"/>
    <w:rPr>
      <w:color w:val="0033CC"/>
      <w:u w:val="none"/>
    </w:rPr>
  </w:style>
  <w:style w:type="paragraph" w:customStyle="1" w:styleId="BodyTextRight">
    <w:name w:val="Body Text Right"/>
    <w:basedOn w:val="BodyText"/>
    <w:rsid w:val="000F72C0"/>
    <w:pPr>
      <w:spacing w:before="0" w:after="0"/>
      <w:jc w:val="right"/>
    </w:pPr>
  </w:style>
  <w:style w:type="paragraph" w:styleId="Index3">
    <w:name w:val="index 3"/>
    <w:basedOn w:val="ListNumber2"/>
    <w:next w:val="Normal"/>
    <w:semiHidden/>
    <w:rsid w:val="000F72C0"/>
    <w:pPr>
      <w:numPr>
        <w:numId w:val="0"/>
      </w:numPr>
      <w:tabs>
        <w:tab w:val="right" w:leader="dot" w:pos="4176"/>
      </w:tabs>
    </w:pPr>
  </w:style>
  <w:style w:type="paragraph" w:styleId="ListNumber2">
    <w:name w:val="List Number 2"/>
    <w:basedOn w:val="List2"/>
    <w:rsid w:val="000F72C0"/>
    <w:pPr>
      <w:numPr>
        <w:numId w:val="10"/>
      </w:numPr>
      <w:tabs>
        <w:tab w:val="clear" w:pos="1060"/>
      </w:tabs>
    </w:pPr>
  </w:style>
  <w:style w:type="paragraph" w:customStyle="1" w:styleId="MarginNote">
    <w:name w:val="Margin Note"/>
    <w:basedOn w:val="BodyText"/>
    <w:rsid w:val="000F72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72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72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72C0"/>
    <w:rPr>
      <w:sz w:val="32"/>
    </w:rPr>
  </w:style>
  <w:style w:type="paragraph" w:customStyle="1" w:styleId="HeadingProcedure">
    <w:name w:val="Heading Procedure"/>
    <w:basedOn w:val="HeadingBase"/>
    <w:next w:val="Normal"/>
    <w:rsid w:val="000F72C0"/>
    <w:pPr>
      <w:tabs>
        <w:tab w:val="left" w:pos="0"/>
      </w:tabs>
      <w:spacing w:before="120" w:after="60"/>
    </w:pPr>
    <w:rPr>
      <w:i/>
      <w:color w:val="918585"/>
      <w:sz w:val="22"/>
    </w:rPr>
  </w:style>
  <w:style w:type="paragraph" w:customStyle="1" w:styleId="TableBodyText">
    <w:name w:val="Table Body Text"/>
    <w:basedOn w:val="BodyText"/>
    <w:rsid w:val="000F72C0"/>
    <w:pPr>
      <w:spacing w:before="60" w:after="60"/>
    </w:pPr>
  </w:style>
  <w:style w:type="paragraph" w:styleId="ListContinue">
    <w:name w:val="List Continue"/>
    <w:basedOn w:val="List"/>
    <w:rsid w:val="000F72C0"/>
    <w:pPr>
      <w:ind w:firstLine="0"/>
    </w:pPr>
  </w:style>
  <w:style w:type="paragraph" w:customStyle="1" w:styleId="ListNote">
    <w:name w:val="List Note"/>
    <w:basedOn w:val="List"/>
    <w:rsid w:val="000F72C0"/>
    <w:pPr>
      <w:pBdr>
        <w:top w:val="single" w:sz="6" w:space="2" w:color="918585"/>
        <w:bottom w:val="single" w:sz="6" w:space="2" w:color="918585"/>
      </w:pBdr>
      <w:tabs>
        <w:tab w:val="left" w:pos="1021"/>
      </w:tabs>
      <w:ind w:firstLine="0"/>
    </w:pPr>
  </w:style>
  <w:style w:type="paragraph" w:customStyle="1" w:styleId="Warning">
    <w:name w:val="Warning"/>
    <w:basedOn w:val="BodyText"/>
    <w:rsid w:val="000F72C0"/>
    <w:pPr>
      <w:shd w:val="clear" w:color="auto" w:fill="D9D9D9"/>
      <w:tabs>
        <w:tab w:val="left" w:pos="992"/>
      </w:tabs>
      <w:ind w:left="119" w:right="119"/>
    </w:pPr>
    <w:rPr>
      <w:sz w:val="20"/>
    </w:rPr>
  </w:style>
  <w:style w:type="paragraph" w:customStyle="1" w:styleId="MarginIcons">
    <w:name w:val="Margin Icons"/>
    <w:basedOn w:val="BodyText"/>
    <w:rsid w:val="000F72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72C0"/>
    <w:rPr>
      <w:rFonts w:ascii="Courier New" w:hAnsi="Courier New"/>
    </w:rPr>
  </w:style>
  <w:style w:type="paragraph" w:customStyle="1" w:styleId="NoteBullet">
    <w:name w:val="Note Bullet"/>
    <w:basedOn w:val="Note"/>
    <w:rsid w:val="000F72C0"/>
    <w:pPr>
      <w:tabs>
        <w:tab w:val="clear" w:pos="680"/>
      </w:tabs>
      <w:spacing w:before="60" w:after="60"/>
    </w:pPr>
  </w:style>
  <w:style w:type="paragraph" w:customStyle="1" w:styleId="SubHeading2">
    <w:name w:val="SubHeading2"/>
    <w:basedOn w:val="HeadingBase"/>
    <w:rsid w:val="000F72C0"/>
    <w:pPr>
      <w:spacing w:before="240" w:after="60"/>
    </w:pPr>
    <w:rPr>
      <w:sz w:val="20"/>
    </w:rPr>
  </w:style>
  <w:style w:type="paragraph" w:customStyle="1" w:styleId="SubHeading1">
    <w:name w:val="SubHeading1"/>
    <w:basedOn w:val="HeadingBase"/>
    <w:rsid w:val="000F72C0"/>
    <w:pPr>
      <w:spacing w:before="240" w:after="60"/>
    </w:pPr>
    <w:rPr>
      <w:color w:val="918585"/>
      <w:sz w:val="22"/>
    </w:rPr>
  </w:style>
  <w:style w:type="paragraph" w:customStyle="1" w:styleId="SideHeading">
    <w:name w:val="Side Heading"/>
    <w:basedOn w:val="HeadingBase"/>
    <w:rsid w:val="000F72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72C0"/>
    <w:pPr>
      <w:tabs>
        <w:tab w:val="num" w:pos="360"/>
      </w:tabs>
    </w:pPr>
  </w:style>
  <w:style w:type="paragraph" w:styleId="PlainText">
    <w:name w:val="Plain Text"/>
    <w:basedOn w:val="Normal"/>
    <w:link w:val="PlainTextChar"/>
    <w:rsid w:val="000F72C0"/>
    <w:rPr>
      <w:sz w:val="20"/>
    </w:rPr>
  </w:style>
  <w:style w:type="character" w:customStyle="1" w:styleId="PlainTextChar">
    <w:name w:val="Plain Text Char"/>
    <w:basedOn w:val="DefaultParagraphFont"/>
    <w:link w:val="PlainText"/>
    <w:rsid w:val="000F72C0"/>
    <w:rPr>
      <w:rFonts w:ascii="Courier New" w:eastAsia="Times New Roman" w:hAnsi="Courier New" w:cs="Times New Roman"/>
      <w:sz w:val="20"/>
      <w:szCs w:val="20"/>
      <w:lang w:eastAsia="en-US"/>
    </w:rPr>
  </w:style>
  <w:style w:type="character" w:customStyle="1" w:styleId="MenuOption">
    <w:name w:val="Menu Option"/>
    <w:basedOn w:val="DefaultParagraphFont"/>
    <w:rsid w:val="000F72C0"/>
    <w:rPr>
      <w:b/>
      <w:smallCaps/>
    </w:rPr>
  </w:style>
  <w:style w:type="paragraph" w:customStyle="1" w:styleId="TableListNumber">
    <w:name w:val="Table List Number"/>
    <w:basedOn w:val="ListNumber"/>
    <w:rsid w:val="000F72C0"/>
    <w:pPr>
      <w:numPr>
        <w:numId w:val="0"/>
      </w:numPr>
    </w:pPr>
  </w:style>
  <w:style w:type="paragraph" w:styleId="TOC4">
    <w:name w:val="toc 4"/>
    <w:basedOn w:val="TOCBase"/>
    <w:next w:val="Normal"/>
    <w:semiHidden/>
    <w:rsid w:val="000F72C0"/>
    <w:pPr>
      <w:tabs>
        <w:tab w:val="right" w:leader="dot" w:pos="9071"/>
      </w:tabs>
      <w:ind w:left="1701"/>
    </w:pPr>
  </w:style>
  <w:style w:type="paragraph" w:customStyle="1" w:styleId="ListAlpha">
    <w:name w:val="List Alpha"/>
    <w:basedOn w:val="List"/>
    <w:rsid w:val="000F72C0"/>
    <w:pPr>
      <w:numPr>
        <w:numId w:val="9"/>
      </w:numPr>
    </w:pPr>
  </w:style>
  <w:style w:type="paragraph" w:customStyle="1" w:styleId="ListAlpha2">
    <w:name w:val="List Alpha 2"/>
    <w:basedOn w:val="List2"/>
    <w:rsid w:val="000F72C0"/>
    <w:pPr>
      <w:numPr>
        <w:numId w:val="8"/>
      </w:numPr>
    </w:pPr>
  </w:style>
  <w:style w:type="paragraph" w:styleId="List2">
    <w:name w:val="List 2"/>
    <w:basedOn w:val="BodyText"/>
    <w:rsid w:val="000F72C0"/>
    <w:pPr>
      <w:tabs>
        <w:tab w:val="left" w:pos="680"/>
      </w:tabs>
      <w:spacing w:before="60" w:after="60"/>
      <w:ind w:left="680" w:hanging="340"/>
    </w:pPr>
  </w:style>
  <w:style w:type="paragraph" w:styleId="List3">
    <w:name w:val="List 3"/>
    <w:basedOn w:val="BodyText"/>
    <w:rsid w:val="000F72C0"/>
    <w:pPr>
      <w:tabs>
        <w:tab w:val="left" w:pos="1021"/>
      </w:tabs>
      <w:spacing w:before="60" w:after="60"/>
      <w:ind w:left="1020" w:hanging="340"/>
    </w:pPr>
  </w:style>
  <w:style w:type="paragraph" w:styleId="List4">
    <w:name w:val="List 4"/>
    <w:basedOn w:val="BodyText"/>
    <w:rsid w:val="000F72C0"/>
    <w:pPr>
      <w:tabs>
        <w:tab w:val="left" w:pos="1361"/>
      </w:tabs>
      <w:spacing w:before="60" w:after="60"/>
      <w:ind w:left="1361" w:hanging="340"/>
    </w:pPr>
  </w:style>
  <w:style w:type="paragraph" w:styleId="List5">
    <w:name w:val="List 5"/>
    <w:basedOn w:val="BodyText"/>
    <w:rsid w:val="000F72C0"/>
    <w:pPr>
      <w:tabs>
        <w:tab w:val="left" w:pos="1701"/>
      </w:tabs>
      <w:spacing w:before="60" w:after="60"/>
      <w:ind w:left="1701" w:hanging="340"/>
    </w:pPr>
  </w:style>
  <w:style w:type="paragraph" w:styleId="ListBullet3">
    <w:name w:val="List Bullet 3"/>
    <w:basedOn w:val="List3"/>
    <w:rsid w:val="000F72C0"/>
    <w:pPr>
      <w:numPr>
        <w:numId w:val="14"/>
      </w:numPr>
      <w:tabs>
        <w:tab w:val="clear" w:pos="1021"/>
      </w:tabs>
      <w:ind w:left="1037" w:hanging="357"/>
    </w:pPr>
  </w:style>
  <w:style w:type="paragraph" w:styleId="ListBullet4">
    <w:name w:val="List Bullet 4"/>
    <w:basedOn w:val="List4"/>
    <w:rsid w:val="000F72C0"/>
    <w:pPr>
      <w:numPr>
        <w:numId w:val="3"/>
      </w:numPr>
      <w:tabs>
        <w:tab w:val="clear" w:pos="1361"/>
      </w:tabs>
    </w:pPr>
  </w:style>
  <w:style w:type="paragraph" w:styleId="ListBullet5">
    <w:name w:val="List Bullet 5"/>
    <w:basedOn w:val="List5"/>
    <w:rsid w:val="000F72C0"/>
    <w:pPr>
      <w:numPr>
        <w:numId w:val="4"/>
      </w:numPr>
    </w:pPr>
  </w:style>
  <w:style w:type="paragraph" w:styleId="ListContinue2">
    <w:name w:val="List Continue 2"/>
    <w:basedOn w:val="List2"/>
    <w:rsid w:val="000F72C0"/>
    <w:pPr>
      <w:ind w:firstLine="0"/>
    </w:pPr>
  </w:style>
  <w:style w:type="paragraph" w:styleId="ListContinue3">
    <w:name w:val="List Continue 3"/>
    <w:basedOn w:val="List3"/>
    <w:rsid w:val="000F72C0"/>
    <w:pPr>
      <w:ind w:left="1021" w:firstLine="0"/>
    </w:pPr>
  </w:style>
  <w:style w:type="paragraph" w:styleId="ListContinue4">
    <w:name w:val="List Continue 4"/>
    <w:basedOn w:val="List4"/>
    <w:rsid w:val="000F72C0"/>
    <w:pPr>
      <w:ind w:firstLine="0"/>
    </w:pPr>
  </w:style>
  <w:style w:type="paragraph" w:styleId="ListContinue5">
    <w:name w:val="List Continue 5"/>
    <w:basedOn w:val="List5"/>
    <w:rsid w:val="000F72C0"/>
    <w:pPr>
      <w:ind w:firstLine="0"/>
    </w:pPr>
  </w:style>
  <w:style w:type="paragraph" w:styleId="ListNumber3">
    <w:name w:val="List Number 3"/>
    <w:basedOn w:val="List3"/>
    <w:rsid w:val="000F72C0"/>
    <w:pPr>
      <w:numPr>
        <w:numId w:val="5"/>
      </w:numPr>
    </w:pPr>
  </w:style>
  <w:style w:type="paragraph" w:styleId="ListNumber4">
    <w:name w:val="List Number 4"/>
    <w:basedOn w:val="List4"/>
    <w:rsid w:val="000F72C0"/>
    <w:pPr>
      <w:numPr>
        <w:numId w:val="6"/>
      </w:numPr>
    </w:pPr>
  </w:style>
  <w:style w:type="paragraph" w:styleId="ListNumber5">
    <w:name w:val="List Number 5"/>
    <w:basedOn w:val="List5"/>
    <w:rsid w:val="000F72C0"/>
    <w:pPr>
      <w:numPr>
        <w:numId w:val="7"/>
      </w:numPr>
    </w:pPr>
  </w:style>
  <w:style w:type="paragraph" w:styleId="BlockText">
    <w:name w:val="Block Text"/>
    <w:basedOn w:val="Normal"/>
    <w:rsid w:val="000F72C0"/>
    <w:pPr>
      <w:spacing w:after="120"/>
      <w:ind w:left="1440" w:right="1440"/>
    </w:pPr>
  </w:style>
  <w:style w:type="character" w:customStyle="1" w:styleId="Subscript">
    <w:name w:val="Subscript"/>
    <w:basedOn w:val="DefaultParagraphFont"/>
    <w:rsid w:val="000F72C0"/>
    <w:rPr>
      <w:sz w:val="16"/>
      <w:vertAlign w:val="subscript"/>
    </w:rPr>
  </w:style>
  <w:style w:type="character" w:customStyle="1" w:styleId="Superscript">
    <w:name w:val="Superscript"/>
    <w:basedOn w:val="DefaultParagraphFont"/>
    <w:rsid w:val="000F72C0"/>
    <w:rPr>
      <w:sz w:val="16"/>
      <w:vertAlign w:val="superscript"/>
    </w:rPr>
  </w:style>
  <w:style w:type="character" w:customStyle="1" w:styleId="Symbols">
    <w:name w:val="Symbols"/>
    <w:basedOn w:val="DefaultParagraphFont"/>
    <w:rsid w:val="000F72C0"/>
    <w:rPr>
      <w:rFonts w:ascii="Symbol" w:hAnsi="Symbol"/>
    </w:rPr>
  </w:style>
  <w:style w:type="character" w:customStyle="1" w:styleId="MenuOptions">
    <w:name w:val="Menu Options"/>
    <w:basedOn w:val="DefaultParagraphFont"/>
    <w:rsid w:val="000F72C0"/>
    <w:rPr>
      <w:rFonts w:ascii="Arial Narrow" w:hAnsi="Arial Narrow"/>
      <w:smallCaps/>
    </w:rPr>
  </w:style>
  <w:style w:type="character" w:customStyle="1" w:styleId="Buttons">
    <w:name w:val="Buttons"/>
    <w:basedOn w:val="DefaultParagraphFont"/>
    <w:rsid w:val="000F72C0"/>
    <w:rPr>
      <w:b/>
    </w:rPr>
  </w:style>
  <w:style w:type="character" w:customStyle="1" w:styleId="Underlined">
    <w:name w:val="Underlined"/>
    <w:basedOn w:val="DefaultParagraphFont"/>
    <w:rsid w:val="000F72C0"/>
    <w:rPr>
      <w:u w:val="single"/>
    </w:rPr>
  </w:style>
  <w:style w:type="paragraph" w:customStyle="1" w:styleId="TableBodyTextRight">
    <w:name w:val="Table Body Text Right"/>
    <w:basedOn w:val="TableBodyText"/>
    <w:rsid w:val="000F72C0"/>
    <w:pPr>
      <w:widowControl w:val="0"/>
      <w:autoSpaceDE w:val="0"/>
      <w:autoSpaceDN w:val="0"/>
      <w:adjustRightInd w:val="0"/>
      <w:jc w:val="right"/>
    </w:pPr>
    <w:rPr>
      <w:rFonts w:cs="Arial"/>
      <w:szCs w:val="18"/>
    </w:rPr>
  </w:style>
  <w:style w:type="paragraph" w:customStyle="1" w:styleId="CopyrightText">
    <w:name w:val="Copyright Text"/>
    <w:basedOn w:val="BodyText"/>
    <w:rsid w:val="000F72C0"/>
    <w:rPr>
      <w:sz w:val="18"/>
    </w:rPr>
  </w:style>
  <w:style w:type="paragraph" w:customStyle="1" w:styleId="BodySmallRight">
    <w:name w:val="Body Small Right"/>
    <w:basedOn w:val="BodyTextRight"/>
    <w:rsid w:val="000F72C0"/>
    <w:rPr>
      <w:sz w:val="18"/>
      <w:szCs w:val="18"/>
    </w:rPr>
  </w:style>
  <w:style w:type="paragraph" w:customStyle="1" w:styleId="MarginEdition">
    <w:name w:val="Margin Edition"/>
    <w:basedOn w:val="MarginNote"/>
    <w:rsid w:val="000F72C0"/>
    <w:pPr>
      <w:spacing w:before="0" w:after="0"/>
    </w:pPr>
    <w:rPr>
      <w:rFonts w:ascii="Times New Roman" w:hAnsi="Times New Roman"/>
      <w:color w:val="999999"/>
    </w:rPr>
  </w:style>
  <w:style w:type="paragraph" w:customStyle="1" w:styleId="Spacer">
    <w:name w:val="Spacer"/>
    <w:basedOn w:val="Normal"/>
    <w:rsid w:val="000F72C0"/>
    <w:rPr>
      <w:sz w:val="2"/>
      <w:szCs w:val="2"/>
    </w:rPr>
  </w:style>
  <w:style w:type="character" w:customStyle="1" w:styleId="Small">
    <w:name w:val="Small"/>
    <w:basedOn w:val="DefaultParagraphFont"/>
    <w:rsid w:val="000F72C0"/>
    <w:rPr>
      <w:sz w:val="16"/>
    </w:rPr>
  </w:style>
  <w:style w:type="paragraph" w:customStyle="1" w:styleId="WideTable">
    <w:name w:val="Wide Table"/>
    <w:basedOn w:val="Normal"/>
    <w:rsid w:val="000F72C0"/>
    <w:pPr>
      <w:ind w:left="-1418"/>
    </w:pPr>
    <w:rPr>
      <w:sz w:val="2"/>
      <w:szCs w:val="2"/>
    </w:rPr>
  </w:style>
  <w:style w:type="character" w:styleId="PageNumber">
    <w:name w:val="page number"/>
    <w:basedOn w:val="DefaultParagraphFont"/>
    <w:rsid w:val="000F72C0"/>
  </w:style>
  <w:style w:type="paragraph" w:styleId="Quote">
    <w:name w:val="Quote"/>
    <w:basedOn w:val="Heading1"/>
    <w:link w:val="QuoteChar"/>
    <w:qFormat/>
    <w:rsid w:val="000F72C0"/>
    <w:rPr>
      <w:b w:val="0"/>
      <w:sz w:val="72"/>
      <w:szCs w:val="72"/>
      <w:lang w:val="en-NZ"/>
    </w:rPr>
  </w:style>
  <w:style w:type="character" w:customStyle="1" w:styleId="QuoteChar">
    <w:name w:val="Quote Char"/>
    <w:basedOn w:val="DefaultParagraphFont"/>
    <w:link w:val="Quote"/>
    <w:rsid w:val="000F72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72C0"/>
    <w:pPr>
      <w:pageBreakBefore/>
    </w:pPr>
  </w:style>
  <w:style w:type="paragraph" w:customStyle="1" w:styleId="Border">
    <w:name w:val="Border"/>
    <w:basedOn w:val="Normal"/>
    <w:qFormat/>
    <w:rsid w:val="000F72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72C0"/>
    <w:rPr>
      <w:b/>
      <w:bCs/>
      <w:i/>
      <w:iCs/>
      <w:color w:val="auto"/>
    </w:rPr>
  </w:style>
  <w:style w:type="paragraph" w:styleId="IntenseQuote">
    <w:name w:val="Intense Quote"/>
    <w:basedOn w:val="Normal"/>
    <w:next w:val="Normal"/>
    <w:link w:val="IntenseQuoteChar"/>
    <w:uiPriority w:val="30"/>
    <w:qFormat/>
    <w:rsid w:val="000F72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72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72C0"/>
    <w:rPr>
      <w:smallCaps/>
      <w:color w:val="auto"/>
      <w:u w:val="single"/>
    </w:rPr>
  </w:style>
  <w:style w:type="character" w:styleId="IntenseReference">
    <w:name w:val="Intense Reference"/>
    <w:basedOn w:val="DefaultParagraphFont"/>
    <w:uiPriority w:val="32"/>
    <w:qFormat/>
    <w:rsid w:val="000F72C0"/>
    <w:rPr>
      <w:b/>
      <w:bCs/>
      <w:smallCaps/>
      <w:color w:val="auto"/>
      <w:spacing w:val="5"/>
      <w:u w:val="single"/>
    </w:rPr>
  </w:style>
  <w:style w:type="paragraph" w:customStyle="1" w:styleId="2ColumnHeading">
    <w:name w:val="2Column Heading"/>
    <w:basedOn w:val="BodyText"/>
    <w:qFormat/>
    <w:rsid w:val="000F72C0"/>
    <w:pPr>
      <w:spacing w:after="60"/>
      <w:ind w:left="-2268"/>
    </w:pPr>
    <w:rPr>
      <w:b/>
    </w:rPr>
  </w:style>
  <w:style w:type="paragraph" w:customStyle="1" w:styleId="Heading1TOC">
    <w:name w:val="Heading1 TOC"/>
    <w:basedOn w:val="Normal"/>
    <w:qFormat/>
    <w:rsid w:val="000F72C0"/>
    <w:pPr>
      <w:spacing w:before="240" w:after="120"/>
    </w:pPr>
    <w:rPr>
      <w:rFonts w:ascii="Times New Roman" w:hAnsi="Times New Roman"/>
      <w:b/>
      <w:sz w:val="32"/>
    </w:rPr>
  </w:style>
  <w:style w:type="paragraph" w:customStyle="1" w:styleId="Heading2TOC">
    <w:name w:val="Heading2 TOC"/>
    <w:basedOn w:val="Normal"/>
    <w:qFormat/>
    <w:rsid w:val="000F72C0"/>
    <w:pPr>
      <w:spacing w:before="240" w:after="60"/>
    </w:pPr>
    <w:rPr>
      <w:rFonts w:ascii="Times New Roman" w:hAnsi="Times New Roman"/>
      <w:b/>
      <w:sz w:val="28"/>
    </w:rPr>
  </w:style>
  <w:style w:type="character" w:customStyle="1" w:styleId="Underline">
    <w:name w:val="Underline"/>
    <w:basedOn w:val="DefaultParagraphFont"/>
    <w:qFormat/>
    <w:rsid w:val="000F72C0"/>
    <w:rPr>
      <w:u w:val="single"/>
    </w:rPr>
  </w:style>
  <w:style w:type="character" w:customStyle="1" w:styleId="BoldandItalics">
    <w:name w:val="Bold and Italics"/>
    <w:qFormat/>
    <w:rsid w:val="000F72C0"/>
    <w:rPr>
      <w:b/>
      <w:i/>
      <w:u w:val="none"/>
    </w:rPr>
  </w:style>
  <w:style w:type="paragraph" w:styleId="BalloonText">
    <w:name w:val="Balloon Text"/>
    <w:basedOn w:val="Normal"/>
    <w:link w:val="BalloonTextChar"/>
    <w:rsid w:val="000F72C0"/>
    <w:rPr>
      <w:rFonts w:ascii="Tahoma" w:hAnsi="Tahoma" w:cs="Tahoma"/>
      <w:sz w:val="16"/>
      <w:szCs w:val="16"/>
    </w:rPr>
  </w:style>
  <w:style w:type="character" w:customStyle="1" w:styleId="BalloonTextChar">
    <w:name w:val="Balloon Text Char"/>
    <w:basedOn w:val="DefaultParagraphFont"/>
    <w:link w:val="BalloonText"/>
    <w:rsid w:val="000F72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72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72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72C0"/>
    <w:rPr>
      <w:b/>
      <w:color w:val="660033"/>
      <w:spacing w:val="0"/>
    </w:rPr>
  </w:style>
  <w:style w:type="paragraph" w:customStyle="1" w:styleId="Nameditemlist">
    <w:name w:val="Named item list"/>
    <w:basedOn w:val="BodyText"/>
    <w:qFormat/>
    <w:rsid w:val="000F72C0"/>
    <w:pPr>
      <w:tabs>
        <w:tab w:val="left" w:pos="2835"/>
      </w:tabs>
      <w:ind w:left="2835" w:hanging="2835"/>
    </w:pPr>
  </w:style>
  <w:style w:type="paragraph" w:customStyle="1" w:styleId="BodyTextnopadding">
    <w:name w:val="Body Text no padding"/>
    <w:basedOn w:val="BodyText"/>
    <w:qFormat/>
    <w:rsid w:val="000F72C0"/>
    <w:pPr>
      <w:spacing w:before="0" w:after="0"/>
    </w:pPr>
  </w:style>
  <w:style w:type="paragraph" w:customStyle="1" w:styleId="BodyTextBold">
    <w:name w:val="Body Text Bold"/>
    <w:basedOn w:val="BodyText"/>
    <w:qFormat/>
    <w:rsid w:val="000F72C0"/>
    <w:rPr>
      <w:b/>
    </w:rPr>
  </w:style>
  <w:style w:type="character" w:styleId="Hyperlink">
    <w:name w:val="Hyperlink"/>
    <w:basedOn w:val="DefaultParagraphFont"/>
    <w:uiPriority w:val="99"/>
    <w:unhideWhenUsed/>
    <w:rsid w:val="00E442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1216</Words>
  <Characters>7649</Characters>
  <Application>Microsoft Office Word</Application>
  <DocSecurity>0</DocSecurity>
  <Lines>305</Lines>
  <Paragraphs>188</Paragraphs>
  <ScaleCrop>false</ScaleCrop>
  <Company>Author-it Software Corporation Ltd.</Company>
  <LinksUpToDate>false</LinksUpToDate>
  <CharactersWithSpaces>8677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MSTML3002 Block and shape complex millinery</dc:title>
  <dc:subject>Approved</dc:subject>
  <dc:creator>Skills Insight</dc:creator>
  <cp:keywords>Release: 1</cp:keywords>
  <dc:description>Review Date: 12 April 2008</dc:description>
  <cp:lastModifiedBy>HSD_TPCMSd.prod</cp:lastModifiedBy>
  <cp:revision>3</cp:revision>
  <dcterms:created xsi:type="dcterms:W3CDTF">2025-03-01T08:22:00Z</dcterms:created>
  <dcterms:modified xsi:type="dcterms:W3CDTF">2025-03-01T08:22:00Z</dcterms:modified>
</cp:coreProperties>
</file>