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506" w:rsidP="00AE7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MSTML3002 Block and shape complex millinery</w:t>
      </w:r>
      <w:r>
        <w:fldChar w:fldCharType="end"/>
      </w:r>
    </w:p>
    <w:p w:rsidR="00AE7506" w:rsidP="00AE7506">
      <w:pPr>
        <w:pStyle w:val="Version"/>
        <w:sectPr w:rsidSect="00DD7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960" w:rsidP="00DD7960">
      <w:pPr>
        <w:pStyle w:val="SuperHeading"/>
      </w:pPr>
      <w:r w:rsidRPr="00DD7960">
        <w:t>Assessment Requirements for MSTML3002 Block and shape complex millinery</w:t>
      </w:r>
    </w:p>
    <w:p w:rsidR="00000000" w:rsidRPr="00DD7960" w:rsidP="00DD7960">
      <w:pPr>
        <w:pStyle w:val="Heading1"/>
      </w:pPr>
      <w:bookmarkStart w:id="1" w:name="O_934002"/>
      <w:bookmarkEnd w:id="1"/>
      <w:r w:rsidRPr="00DD7960">
        <w:t>Modification History</w:t>
      </w:r>
    </w:p>
    <w:p w:rsidR="00000000" w:rsidRPr="00DD7960" w:rsidP="00AE7506">
      <w:pPr>
        <w:pStyle w:val="BodyText"/>
      </w:pPr>
      <w:r w:rsidRPr="00DD7960">
        <w:t>Release 1. Supersedes and is equivalent to LMTML3002A Block and shape complex millinery</w:t>
      </w:r>
    </w:p>
    <w:p w:rsidR="00000000" w:rsidRPr="00DD7960" w:rsidP="00DD7960">
      <w:pPr>
        <w:pStyle w:val="Heading1"/>
      </w:pPr>
      <w:bookmarkStart w:id="2" w:name="O_934005"/>
      <w:bookmarkEnd w:id="2"/>
      <w:r w:rsidRPr="00DD7960">
        <w:t>Performance Evidence</w:t>
      </w:r>
    </w:p>
    <w:p w:rsidR="00000000" w:rsidRPr="00DD7960" w:rsidP="00AE7506">
      <w:pPr>
        <w:pStyle w:val="BodyText"/>
      </w:pPr>
      <w:r w:rsidRPr="00DD7960">
        <w:t>Evidence required to demonstrate competence in this unit must be relevant to and satisfy the requirements of the elements and performance criteria, and include:</w:t>
      </w:r>
    </w:p>
    <w:p w:rsidR="00000000" w:rsidRPr="00DD7960" w:rsidP="00DD7960">
      <w:pPr>
        <w:pStyle w:val="ListBullet"/>
      </w:pPr>
      <w:r w:rsidRPr="00DD7960">
        <w:t>reading and following work instructions, standard operating procedures (SOPs), safe work pract</w:t>
      </w:r>
      <w:r w:rsidRPr="00DD7960">
        <w:t xml:space="preserve">ices </w:t>
      </w:r>
    </w:p>
    <w:p w:rsidR="00000000" w:rsidRPr="00DD7960" w:rsidP="00DD7960">
      <w:pPr>
        <w:pStyle w:val="ListBullet"/>
      </w:pPr>
      <w:r w:rsidRPr="00DD7960">
        <w:t xml:space="preserve">analysing a millinery design to determine crown and brim shapes and shapes of other components </w:t>
      </w:r>
    </w:p>
    <w:p w:rsidR="00000000" w:rsidRPr="00DD7960" w:rsidP="00DD7960">
      <w:pPr>
        <w:pStyle w:val="ListBullet"/>
      </w:pPr>
      <w:r w:rsidRPr="00DD7960">
        <w:t>assessing suitability of millinery materials and components to the blocking and shaping operations required of the millinery design</w:t>
      </w:r>
    </w:p>
    <w:p w:rsidR="00000000" w:rsidRPr="00DD7960" w:rsidP="00DD7960">
      <w:pPr>
        <w:pStyle w:val="ListBullet"/>
      </w:pPr>
      <w:r w:rsidRPr="00DD7960">
        <w:t>identifying performanc</w:t>
      </w:r>
      <w:r w:rsidRPr="00DD7960">
        <w:t>e characteristics and handling of the selected millinery materials and components</w:t>
      </w:r>
    </w:p>
    <w:p w:rsidR="00000000" w:rsidRPr="00DD7960" w:rsidP="00DD7960">
      <w:pPr>
        <w:pStyle w:val="ListBullet"/>
      </w:pPr>
      <w:r w:rsidRPr="00DD7960">
        <w:t>preparing and manipulating traditional and non-traditional millinery materials to produce required shapes using hat blocks</w:t>
      </w:r>
    </w:p>
    <w:p w:rsidR="00000000" w:rsidRPr="00DD7960" w:rsidP="00DD7960">
      <w:pPr>
        <w:pStyle w:val="ListBullet"/>
      </w:pPr>
      <w:r w:rsidRPr="00DD7960">
        <w:t>using manual initial and final blocking and shaping</w:t>
      </w:r>
      <w:r w:rsidRPr="00DD7960">
        <w:t xml:space="preserve"> techniques with hat blocks to achieve at least two (2) complex millinery shapes</w:t>
      </w:r>
    </w:p>
    <w:p w:rsidR="00000000" w:rsidRPr="00DD7960" w:rsidP="00DD7960">
      <w:pPr>
        <w:pStyle w:val="ListBullet"/>
      </w:pPr>
      <w:r w:rsidRPr="00DD7960">
        <w:t>finalising complex blocked shapes for millinery with an intricate and complex silhouette on at least two (2) occasions</w:t>
      </w:r>
    </w:p>
    <w:p w:rsidR="00000000" w:rsidRPr="00DD7960" w:rsidP="00DD7960">
      <w:pPr>
        <w:pStyle w:val="ListBullet"/>
      </w:pPr>
      <w:r w:rsidRPr="00DD7960">
        <w:t>preparing blocked shapes for the next step in the millin</w:t>
      </w:r>
      <w:r w:rsidRPr="00DD7960">
        <w:t>ery production process</w:t>
      </w:r>
    </w:p>
    <w:p w:rsidR="00000000" w:rsidRPr="00DD7960" w:rsidP="00DD7960">
      <w:pPr>
        <w:pStyle w:val="ListBullet"/>
      </w:pPr>
      <w:r w:rsidRPr="00DD7960">
        <w:t>applying workplace procedures.</w:t>
      </w:r>
    </w:p>
    <w:p w:rsidR="00000000" w:rsidRPr="00DD7960" w:rsidP="00DD7960">
      <w:pPr>
        <w:pStyle w:val="AllowPageBreak"/>
      </w:pPr>
    </w:p>
    <w:p w:rsidR="00000000" w:rsidRPr="00DD7960" w:rsidP="00DD7960">
      <w:pPr>
        <w:pStyle w:val="Heading1"/>
      </w:pPr>
      <w:bookmarkStart w:id="3" w:name="O_934004"/>
      <w:bookmarkEnd w:id="3"/>
      <w:r w:rsidRPr="00DD7960">
        <w:t>Knowledge Evidence</w:t>
      </w:r>
    </w:p>
    <w:p w:rsidR="00000000" w:rsidRPr="00DD7960" w:rsidP="00AE7506">
      <w:pPr>
        <w:pStyle w:val="BodyText"/>
      </w:pPr>
      <w:r w:rsidRPr="00DD7960">
        <w:t>Evidence must be provided that demonstrates knowledge of:</w:t>
      </w:r>
    </w:p>
    <w:p w:rsidR="00000000" w:rsidRPr="00DD7960" w:rsidP="00DD7960">
      <w:pPr>
        <w:pStyle w:val="ListBullet"/>
      </w:pPr>
      <w:r w:rsidRPr="00DD7960">
        <w:t>safe work practices and procedures and use of personal protective equipment (PPE)</w:t>
      </w:r>
    </w:p>
    <w:p w:rsidR="00000000" w:rsidRPr="00DD7960" w:rsidP="00DD7960">
      <w:pPr>
        <w:pStyle w:val="ListBullet"/>
      </w:pPr>
      <w:r w:rsidRPr="00DD7960">
        <w:t>the performance character</w:t>
      </w:r>
      <w:r w:rsidRPr="00DD7960">
        <w:t>istics and handling of millinery materials</w:t>
      </w:r>
    </w:p>
    <w:p w:rsidR="00000000" w:rsidRPr="00DD7960" w:rsidP="00DD7960">
      <w:pPr>
        <w:pStyle w:val="ListBullet"/>
      </w:pPr>
      <w:r w:rsidRPr="00DD7960">
        <w:t>industry and product processes and equipment</w:t>
      </w:r>
    </w:p>
    <w:p w:rsidR="00000000" w:rsidRPr="00DD7960" w:rsidP="00DD7960">
      <w:pPr>
        <w:pStyle w:val="ListBullet"/>
      </w:pPr>
      <w:r w:rsidRPr="00DD7960">
        <w:t>preparation of hat blocks:</w:t>
      </w:r>
    </w:p>
    <w:p w:rsidR="00000000" w:rsidRPr="00DD7960" w:rsidP="00DD7960">
      <w:pPr>
        <w:pStyle w:val="ListBullet2"/>
      </w:pPr>
      <w:r w:rsidRPr="00DD7960">
        <w:t>modifying the shape or head size of existing blocks</w:t>
      </w:r>
    </w:p>
    <w:p w:rsidR="00000000" w:rsidRPr="00DD7960" w:rsidP="00DD7960">
      <w:pPr>
        <w:pStyle w:val="ListBullet2"/>
      </w:pPr>
      <w:r w:rsidRPr="00DD7960">
        <w:t>cleaning and removing any unwanted previous markings</w:t>
      </w:r>
    </w:p>
    <w:p w:rsidR="00000000" w:rsidRPr="00DD7960" w:rsidP="00DD7960">
      <w:pPr>
        <w:pStyle w:val="ListBullet2"/>
      </w:pPr>
      <w:r w:rsidRPr="00DD7960">
        <w:t xml:space="preserve">applying a protective covering to the hat block </w:t>
      </w:r>
    </w:p>
    <w:p w:rsidR="00000000" w:rsidRPr="00DD7960" w:rsidP="00DD7960">
      <w:pPr>
        <w:pStyle w:val="ListBullet2"/>
      </w:pPr>
      <w:r w:rsidRPr="00DD7960">
        <w:t>selecting a spinner or stand for the hat block</w:t>
      </w:r>
    </w:p>
    <w:p w:rsidR="00000000" w:rsidRPr="00DD7960" w:rsidP="00DD7960">
      <w:pPr>
        <w:pStyle w:val="ListBullet"/>
      </w:pPr>
      <w:r w:rsidRPr="00DD7960">
        <w:t>environmental aspects associated with the use of millinery solvents and adhesives</w:t>
      </w:r>
    </w:p>
    <w:p w:rsidR="00000000" w:rsidRPr="00DD7960" w:rsidP="00DD7960">
      <w:pPr>
        <w:pStyle w:val="ListBullet"/>
      </w:pPr>
      <w:r w:rsidRPr="00DD7960">
        <w:t>measures associated with the use of millinery solvents and adhesives</w:t>
      </w:r>
    </w:p>
    <w:p w:rsidR="00000000" w:rsidRPr="00DD7960" w:rsidP="00DD7960">
      <w:pPr>
        <w:pStyle w:val="ListBullet"/>
      </w:pPr>
      <w:r w:rsidRPr="00DD7960">
        <w:t>performa</w:t>
      </w:r>
      <w:r w:rsidRPr="00DD7960">
        <w:t>nce characteristics and handling of the selected millinery materials and components</w:t>
      </w:r>
    </w:p>
    <w:p w:rsidR="00000000" w:rsidRPr="00DD7960" w:rsidP="00DD7960">
      <w:pPr>
        <w:pStyle w:val="ListBullet"/>
      </w:pPr>
      <w:r w:rsidRPr="00DD7960">
        <w:t>complex millinery shapes:</w:t>
      </w:r>
    </w:p>
    <w:p w:rsidR="00000000" w:rsidRPr="00DD7960" w:rsidP="00DD7960">
      <w:pPr>
        <w:pStyle w:val="ListBullet2"/>
      </w:pPr>
      <w:r w:rsidRPr="00DD7960">
        <w:t xml:space="preserve">a combination of unusual and contrasting shapes </w:t>
      </w:r>
    </w:p>
    <w:p w:rsidR="00000000" w:rsidRPr="00DD7960" w:rsidP="00DD7960">
      <w:pPr>
        <w:pStyle w:val="ListBullet2"/>
      </w:pPr>
      <w:r w:rsidRPr="00DD7960">
        <w:t>intricate and complex silhouette</w:t>
      </w:r>
    </w:p>
    <w:p w:rsidR="00000000" w:rsidRPr="00DD7960" w:rsidP="00DD7960">
      <w:pPr>
        <w:pStyle w:val="ListBullet2"/>
      </w:pPr>
      <w:r w:rsidRPr="00DD7960">
        <w:t>3-D shapes</w:t>
      </w:r>
    </w:p>
    <w:p w:rsidR="00000000" w:rsidRPr="00DD7960" w:rsidP="00DD7960">
      <w:pPr>
        <w:pStyle w:val="ListBullet2"/>
      </w:pPr>
      <w:r w:rsidRPr="00DD7960">
        <w:t>2-D shapes</w:t>
      </w:r>
    </w:p>
    <w:p w:rsidR="00000000" w:rsidRPr="00DD7960" w:rsidP="00DD7960">
      <w:pPr>
        <w:pStyle w:val="ListBullet2"/>
      </w:pPr>
      <w:r w:rsidRPr="00DD7960">
        <w:t>harmonious shapes</w:t>
      </w:r>
    </w:p>
    <w:p w:rsidR="00000000" w:rsidRPr="00DD7960" w:rsidP="00DD7960">
      <w:pPr>
        <w:pStyle w:val="ListBullet2"/>
      </w:pPr>
      <w:r w:rsidRPr="00DD7960">
        <w:t>contrasting shapes</w:t>
      </w:r>
    </w:p>
    <w:p w:rsidR="00000000" w:rsidRPr="00DD7960" w:rsidP="00DD7960">
      <w:pPr>
        <w:pStyle w:val="ListBullet2"/>
      </w:pPr>
      <w:r w:rsidRPr="00DD7960">
        <w:t>conc</w:t>
      </w:r>
      <w:r w:rsidRPr="00DD7960">
        <w:t>ave shapes</w:t>
      </w:r>
    </w:p>
    <w:p w:rsidR="00000000" w:rsidRPr="00DD7960" w:rsidP="00DD7960">
      <w:pPr>
        <w:pStyle w:val="ListBullet2"/>
      </w:pPr>
      <w:r w:rsidRPr="00DD7960">
        <w:t>convex shapes</w:t>
      </w:r>
    </w:p>
    <w:p w:rsidR="00000000" w:rsidRPr="00DD7960" w:rsidP="00DD7960">
      <w:pPr>
        <w:pStyle w:val="ListBullet2"/>
      </w:pPr>
      <w:r w:rsidRPr="00DD7960">
        <w:t>curvilinear shapes</w:t>
      </w:r>
    </w:p>
    <w:p w:rsidR="00000000" w:rsidRPr="00DD7960" w:rsidP="00DD7960">
      <w:pPr>
        <w:pStyle w:val="ListBullet2"/>
      </w:pPr>
      <w:r w:rsidRPr="00DD7960">
        <w:t>combinations of shapes</w:t>
      </w:r>
    </w:p>
    <w:p w:rsidR="00000000" w:rsidRPr="00DD7960" w:rsidP="00DD7960">
      <w:pPr>
        <w:pStyle w:val="ListBullet"/>
      </w:pPr>
      <w:r w:rsidRPr="00DD7960">
        <w:t>blocked secondary components:</w:t>
      </w:r>
    </w:p>
    <w:p w:rsidR="00000000" w:rsidRPr="00DD7960" w:rsidP="00DD7960">
      <w:pPr>
        <w:pStyle w:val="ListBullet2"/>
      </w:pPr>
      <w:r w:rsidRPr="00DD7960">
        <w:t>trims</w:t>
      </w:r>
    </w:p>
    <w:p w:rsidR="00000000" w:rsidRPr="00DD7960" w:rsidP="00DD7960">
      <w:pPr>
        <w:pStyle w:val="ListBullet2"/>
      </w:pPr>
      <w:r w:rsidRPr="00DD7960">
        <w:t>functional extensions (e.g. collars)</w:t>
      </w:r>
    </w:p>
    <w:p w:rsidR="00000000" w:rsidRPr="00DD7960" w:rsidP="00DD7960">
      <w:pPr>
        <w:pStyle w:val="ListBullet2"/>
      </w:pPr>
      <w:r w:rsidRPr="00DD7960">
        <w:t>aesthetic extensions</w:t>
      </w:r>
    </w:p>
    <w:p w:rsidR="00000000" w:rsidRPr="00DD7960" w:rsidP="00DD7960">
      <w:pPr>
        <w:pStyle w:val="ListBullet"/>
      </w:pPr>
      <w:r w:rsidRPr="00DD7960">
        <w:t>suitability of millinery materials and components to the blocking and shaping operations required of the millinery design</w:t>
      </w:r>
    </w:p>
    <w:p w:rsidR="00000000" w:rsidRPr="00DD7960" w:rsidP="00DD7960">
      <w:pPr>
        <w:pStyle w:val="ListBullet"/>
      </w:pPr>
      <w:r w:rsidRPr="00DD7960">
        <w:t>workplace procedures</w:t>
      </w:r>
    </w:p>
    <w:p w:rsidR="00000000" w:rsidRPr="00DD7960" w:rsidP="00DD7960">
      <w:pPr>
        <w:pStyle w:val="ListBullet"/>
      </w:pPr>
      <w:r w:rsidRPr="00DD7960">
        <w:t xml:space="preserve">recording and reporting practices. </w:t>
      </w:r>
    </w:p>
    <w:p w:rsidR="00000000" w:rsidRPr="00DD7960" w:rsidP="00DD7960">
      <w:pPr>
        <w:pStyle w:val="AllowPageBreak"/>
      </w:pPr>
    </w:p>
    <w:p w:rsidR="00000000" w:rsidRPr="00DD7960" w:rsidP="00DD7960">
      <w:pPr>
        <w:pStyle w:val="Heading1"/>
      </w:pPr>
      <w:bookmarkStart w:id="4" w:name="O_934003"/>
      <w:bookmarkEnd w:id="4"/>
      <w:r w:rsidRPr="00DD7960">
        <w:t>Assessment Conditions</w:t>
      </w:r>
    </w:p>
    <w:p w:rsidR="00000000" w:rsidRPr="00DD7960" w:rsidP="00DD7960">
      <w:pPr>
        <w:pStyle w:val="ListBullet"/>
      </w:pPr>
      <w:r w:rsidRPr="00DD7960">
        <w:t>Assessors must:</w:t>
      </w:r>
    </w:p>
    <w:p w:rsidR="00000000" w:rsidRPr="00DD7960" w:rsidP="00DD7960">
      <w:pPr>
        <w:pStyle w:val="ListBullet2"/>
      </w:pPr>
      <w:r w:rsidRPr="00DD7960">
        <w:t>satisfy the assessor</w:t>
      </w:r>
      <w:r w:rsidRPr="00DD7960">
        <w:t xml:space="preserve"> competency requirements that are in place at the time of the assessment, as set by the VET regulator</w:t>
      </w:r>
    </w:p>
    <w:p w:rsidR="00000000" w:rsidRPr="00DD7960" w:rsidP="00DD7960">
      <w:pPr>
        <w:pStyle w:val="ListBullet2"/>
      </w:pPr>
      <w:r w:rsidRPr="00DD7960">
        <w:t>have vocational competency in blocking and shaping complex millinery, at least to the level being assessed, with relevant industry knowledge and experienc</w:t>
      </w:r>
      <w:r w:rsidRPr="00DD7960">
        <w:t>e.</w:t>
      </w:r>
    </w:p>
    <w:p w:rsidR="00000000" w:rsidRPr="00DD7960" w:rsidP="00DD7960">
      <w:pPr>
        <w:pStyle w:val="ListBullet"/>
      </w:pPr>
      <w:r w:rsidRPr="00DD7960">
        <w:t xml:space="preserve">Assessment should occur in operational workplace situations. Where this is not possible, or where personal safety or environmental damage are limiting factors, assessment must occur in a sufficiently rigorous simulated environment reflecting realistic </w:t>
      </w:r>
      <w:r w:rsidRPr="00DD7960">
        <w:t>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DD7960" w:rsidP="00DD7960">
      <w:pPr>
        <w:pStyle w:val="ListBullet"/>
      </w:pPr>
      <w:r w:rsidRPr="00DD7960">
        <w:t>Assessment processes and techniques must be a</w:t>
      </w:r>
      <w:r w:rsidRPr="00DD7960">
        <w:t>ppropriate to the language, literacy and numeracy requirements of the work being performed and the needs of the candidate.</w:t>
      </w:r>
    </w:p>
    <w:p w:rsidR="00000000" w:rsidRPr="00DD7960" w:rsidP="00DD7960">
      <w:pPr>
        <w:pStyle w:val="ListBullet"/>
      </w:pPr>
      <w:r w:rsidRPr="00DD7960">
        <w:t>Conditions for assessment must include access to all tools, equipment, materials and documentation required including relevant workpl</w:t>
      </w:r>
      <w:r w:rsidRPr="00DD7960">
        <w:t>ace procedures, product and manufacturing specifications associated with this unit.</w:t>
      </w:r>
    </w:p>
    <w:p w:rsidR="00000000" w:rsidRPr="00DD7960" w:rsidP="00DD7960">
      <w:pPr>
        <w:pStyle w:val="AllowPageBreak"/>
      </w:pPr>
    </w:p>
    <w:p w:rsidR="00000000" w:rsidRPr="00DD7960" w:rsidP="00DD7960">
      <w:pPr>
        <w:pStyle w:val="Heading1"/>
      </w:pPr>
      <w:bookmarkStart w:id="5" w:name="O_934001"/>
      <w:bookmarkEnd w:id="5"/>
      <w:r w:rsidRPr="00DD7960">
        <w:t>Links</w:t>
      </w:r>
    </w:p>
    <w:p w:rsidR="00000000" w:rsidRPr="00DD7960" w:rsidP="00AE7506">
      <w:pPr>
        <w:pStyle w:val="BodyText"/>
      </w:pPr>
      <w:r w:rsidRPr="00DD7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C709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D7960" w:rsidP="00DD7960"/>
    <w:sectPr w:rsidSect="00DD7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60" w:rsidRPr="00AE7506" w:rsidP="00AE7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06" w:rsidP="00DD7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506" w:rsidP="00DD7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7506" w:rsidP="00DD7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960" w:rsidRPr="00AE7506" w:rsidP="00AE7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06" w:rsidRPr="002D2AF8" w:rsidP="00DD7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MSTML3002 Block and shape complex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E7506" w:rsidP="00DD7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C6F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961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B6A4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960"/>
  </w:style>
  <w:style w:type="character" w:customStyle="1" w:styleId="Heading1Char">
    <w:name w:val="Heading 1 Char"/>
    <w:basedOn w:val="DefaultParagraphFont"/>
    <w:link w:val="Heading1"/>
    <w:rsid w:val="00DD7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9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79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7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960"/>
    <w:rPr>
      <w:b/>
      <w:spacing w:val="0"/>
    </w:rPr>
  </w:style>
  <w:style w:type="paragraph" w:customStyle="1" w:styleId="SuperTitle">
    <w:name w:val="SuperTitle"/>
    <w:basedOn w:val="Title"/>
    <w:rsid w:val="00DD7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960"/>
    <w:rPr>
      <w:i/>
    </w:rPr>
  </w:style>
  <w:style w:type="paragraph" w:styleId="Caption">
    <w:name w:val="caption"/>
    <w:basedOn w:val="BodyText"/>
    <w:next w:val="Normal"/>
    <w:qFormat/>
    <w:rsid w:val="00DD7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960"/>
  </w:style>
  <w:style w:type="paragraph" w:styleId="TableofFigures">
    <w:name w:val="table of figures"/>
    <w:basedOn w:val="Normal"/>
    <w:next w:val="Normal"/>
    <w:semiHidden/>
    <w:rsid w:val="00DD7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9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7960"/>
    <w:rPr>
      <w:rFonts w:ascii="Wingdings" w:hAnsi="Wingdings"/>
    </w:rPr>
  </w:style>
  <w:style w:type="paragraph" w:customStyle="1" w:styleId="TableHeading">
    <w:name w:val="Table Heading"/>
    <w:basedOn w:val="HeadingBase"/>
    <w:rsid w:val="00DD7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960"/>
    <w:rPr>
      <w:color w:val="0033CC"/>
      <w:u w:val="none"/>
    </w:rPr>
  </w:style>
  <w:style w:type="paragraph" w:customStyle="1" w:styleId="BodyTextRight">
    <w:name w:val="Body Text Right"/>
    <w:basedOn w:val="BodyText"/>
    <w:rsid w:val="00DD7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9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960"/>
    <w:rPr>
      <w:sz w:val="32"/>
    </w:rPr>
  </w:style>
  <w:style w:type="paragraph" w:customStyle="1" w:styleId="HeadingProcedure">
    <w:name w:val="Heading Procedure"/>
    <w:basedOn w:val="HeadingBase"/>
    <w:next w:val="Normal"/>
    <w:rsid w:val="00DD7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960"/>
    <w:pPr>
      <w:spacing w:before="60" w:after="60"/>
    </w:pPr>
  </w:style>
  <w:style w:type="paragraph" w:styleId="ListContinue">
    <w:name w:val="List Continue"/>
    <w:basedOn w:val="List"/>
    <w:rsid w:val="00DD7960"/>
    <w:pPr>
      <w:ind w:firstLine="0"/>
    </w:pPr>
  </w:style>
  <w:style w:type="paragraph" w:customStyle="1" w:styleId="ListNote">
    <w:name w:val="List Note"/>
    <w:basedOn w:val="List"/>
    <w:rsid w:val="00DD7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960"/>
    <w:rPr>
      <w:rFonts w:ascii="Courier New" w:hAnsi="Courier New"/>
    </w:rPr>
  </w:style>
  <w:style w:type="paragraph" w:customStyle="1" w:styleId="NoteBullet">
    <w:name w:val="Note Bullet"/>
    <w:basedOn w:val="Note"/>
    <w:rsid w:val="00DD7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9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960"/>
    <w:rPr>
      <w:b/>
      <w:smallCaps/>
    </w:rPr>
  </w:style>
  <w:style w:type="paragraph" w:customStyle="1" w:styleId="TableListNumber">
    <w:name w:val="Table List Number"/>
    <w:basedOn w:val="ListNumber"/>
    <w:rsid w:val="00DD7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960"/>
    <w:pPr>
      <w:numPr>
        <w:numId w:val="9"/>
      </w:numPr>
    </w:pPr>
  </w:style>
  <w:style w:type="paragraph" w:customStyle="1" w:styleId="ListAlpha2">
    <w:name w:val="List Alpha 2"/>
    <w:basedOn w:val="List2"/>
    <w:rsid w:val="00DD7960"/>
    <w:pPr>
      <w:numPr>
        <w:numId w:val="8"/>
      </w:numPr>
    </w:pPr>
  </w:style>
  <w:style w:type="paragraph" w:styleId="List2">
    <w:name w:val="List 2"/>
    <w:basedOn w:val="BodyText"/>
    <w:rsid w:val="00DD7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9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9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7960"/>
    <w:pPr>
      <w:numPr>
        <w:numId w:val="4"/>
      </w:numPr>
    </w:pPr>
  </w:style>
  <w:style w:type="paragraph" w:styleId="ListContinue2">
    <w:name w:val="List Continue 2"/>
    <w:basedOn w:val="List2"/>
    <w:rsid w:val="00DD7960"/>
    <w:pPr>
      <w:ind w:firstLine="0"/>
    </w:pPr>
  </w:style>
  <w:style w:type="paragraph" w:styleId="ListContinue3">
    <w:name w:val="List Continue 3"/>
    <w:basedOn w:val="List3"/>
    <w:rsid w:val="00DD7960"/>
    <w:pPr>
      <w:ind w:left="1021" w:firstLine="0"/>
    </w:pPr>
  </w:style>
  <w:style w:type="paragraph" w:styleId="ListContinue4">
    <w:name w:val="List Continue 4"/>
    <w:basedOn w:val="List4"/>
    <w:rsid w:val="00DD7960"/>
    <w:pPr>
      <w:ind w:firstLine="0"/>
    </w:pPr>
  </w:style>
  <w:style w:type="paragraph" w:styleId="ListContinue5">
    <w:name w:val="List Continue 5"/>
    <w:basedOn w:val="List5"/>
    <w:rsid w:val="00DD7960"/>
    <w:pPr>
      <w:ind w:firstLine="0"/>
    </w:pPr>
  </w:style>
  <w:style w:type="paragraph" w:styleId="ListNumber3">
    <w:name w:val="List Number 3"/>
    <w:basedOn w:val="List3"/>
    <w:rsid w:val="00DD7960"/>
    <w:pPr>
      <w:numPr>
        <w:numId w:val="5"/>
      </w:numPr>
    </w:pPr>
  </w:style>
  <w:style w:type="paragraph" w:styleId="ListNumber4">
    <w:name w:val="List Number 4"/>
    <w:basedOn w:val="List4"/>
    <w:rsid w:val="00DD7960"/>
    <w:pPr>
      <w:numPr>
        <w:numId w:val="6"/>
      </w:numPr>
    </w:pPr>
  </w:style>
  <w:style w:type="paragraph" w:styleId="ListNumber5">
    <w:name w:val="List Number 5"/>
    <w:basedOn w:val="List5"/>
    <w:rsid w:val="00DD7960"/>
    <w:pPr>
      <w:numPr>
        <w:numId w:val="7"/>
      </w:numPr>
    </w:pPr>
  </w:style>
  <w:style w:type="paragraph" w:styleId="BlockText">
    <w:name w:val="Block Text"/>
    <w:basedOn w:val="Normal"/>
    <w:rsid w:val="00DD7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960"/>
    <w:rPr>
      <w:sz w:val="16"/>
      <w:vertAlign w:val="superscript"/>
    </w:rPr>
  </w:style>
  <w:style w:type="character" w:customStyle="1" w:styleId="Symbols">
    <w:name w:val="Symbols"/>
    <w:basedOn w:val="DefaultParagraphFont"/>
    <w:rsid w:val="00DD7960"/>
    <w:rPr>
      <w:rFonts w:ascii="Symbol" w:hAnsi="Symbol"/>
    </w:rPr>
  </w:style>
  <w:style w:type="character" w:customStyle="1" w:styleId="MenuOptions">
    <w:name w:val="Menu Options"/>
    <w:basedOn w:val="DefaultParagraphFont"/>
    <w:rsid w:val="00DD7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960"/>
    <w:rPr>
      <w:b/>
    </w:rPr>
  </w:style>
  <w:style w:type="character" w:customStyle="1" w:styleId="Underlined">
    <w:name w:val="Underlined"/>
    <w:basedOn w:val="DefaultParagraphFont"/>
    <w:rsid w:val="00DD7960"/>
    <w:rPr>
      <w:u w:val="single"/>
    </w:rPr>
  </w:style>
  <w:style w:type="paragraph" w:customStyle="1" w:styleId="TableBodyTextRight">
    <w:name w:val="Table Body Text Right"/>
    <w:basedOn w:val="TableBodyText"/>
    <w:rsid w:val="00DD7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960"/>
    <w:rPr>
      <w:sz w:val="18"/>
    </w:rPr>
  </w:style>
  <w:style w:type="paragraph" w:customStyle="1" w:styleId="BodySmallRight">
    <w:name w:val="Body Small Right"/>
    <w:basedOn w:val="BodyTextRight"/>
    <w:rsid w:val="00DD7960"/>
    <w:rPr>
      <w:sz w:val="18"/>
      <w:szCs w:val="18"/>
    </w:rPr>
  </w:style>
  <w:style w:type="paragraph" w:customStyle="1" w:styleId="MarginEdition">
    <w:name w:val="Margin Edition"/>
    <w:basedOn w:val="MarginNote"/>
    <w:rsid w:val="00DD7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960"/>
    <w:rPr>
      <w:sz w:val="2"/>
      <w:szCs w:val="2"/>
    </w:rPr>
  </w:style>
  <w:style w:type="character" w:customStyle="1" w:styleId="Small">
    <w:name w:val="Small"/>
    <w:basedOn w:val="DefaultParagraphFont"/>
    <w:rsid w:val="00DD7960"/>
    <w:rPr>
      <w:sz w:val="16"/>
    </w:rPr>
  </w:style>
  <w:style w:type="paragraph" w:customStyle="1" w:styleId="WideTable">
    <w:name w:val="Wide Table"/>
    <w:basedOn w:val="Normal"/>
    <w:rsid w:val="00DD7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960"/>
  </w:style>
  <w:style w:type="paragraph" w:styleId="Quote">
    <w:name w:val="Quote"/>
    <w:basedOn w:val="Heading1"/>
    <w:link w:val="QuoteChar"/>
    <w:qFormat/>
    <w:rsid w:val="00DD7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960"/>
    <w:pPr>
      <w:pageBreakBefore/>
    </w:pPr>
  </w:style>
  <w:style w:type="paragraph" w:customStyle="1" w:styleId="Border">
    <w:name w:val="Border"/>
    <w:basedOn w:val="Normal"/>
    <w:qFormat/>
    <w:rsid w:val="00DD7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960"/>
    <w:rPr>
      <w:u w:val="single"/>
    </w:rPr>
  </w:style>
  <w:style w:type="character" w:customStyle="1" w:styleId="BoldandItalics">
    <w:name w:val="Bold and Italics"/>
    <w:qFormat/>
    <w:rsid w:val="00DD7960"/>
    <w:rPr>
      <w:b/>
      <w:i/>
      <w:u w:val="none"/>
    </w:rPr>
  </w:style>
  <w:style w:type="paragraph" w:styleId="BalloonText">
    <w:name w:val="Balloon Text"/>
    <w:basedOn w:val="Normal"/>
    <w:link w:val="BalloonTextChar"/>
    <w:rsid w:val="00DD7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960"/>
    <w:pPr>
      <w:spacing w:before="0" w:after="0"/>
    </w:pPr>
  </w:style>
  <w:style w:type="paragraph" w:customStyle="1" w:styleId="BodyTextBold">
    <w:name w:val="Body Text Bold"/>
    <w:basedOn w:val="BodyText"/>
    <w:qFormat/>
    <w:rsid w:val="00DD7960"/>
    <w:rPr>
      <w:b/>
    </w:rPr>
  </w:style>
  <w:style w:type="character" w:styleId="Hyperlink">
    <w:name w:val="Hyperlink"/>
    <w:basedOn w:val="DefaultParagraphFont"/>
    <w:uiPriority w:val="99"/>
    <w:unhideWhenUsed/>
    <w:rsid w:val="00AE7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3566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MSTML3002 Block and shape complex millinery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