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D69" w:rsidP="001A5D69">
      <w:pPr>
        <w:pStyle w:val="Title"/>
      </w:pPr>
      <w:r>
        <w:fldChar w:fldCharType="begin"/>
      </w:r>
      <w:r>
        <w:instrText xml:space="preserve"> TITLE   \* MERGEFORMAT </w:instrText>
      </w:r>
      <w:r>
        <w:fldChar w:fldCharType="separate"/>
      </w:r>
      <w:r>
        <w:t>MSTML2009 Apply millinery sewing and adhesion techniques</w:t>
      </w:r>
      <w:r>
        <w:fldChar w:fldCharType="end"/>
      </w:r>
    </w:p>
    <w:p w:rsidR="001A5D69" w:rsidP="001A5D69">
      <w:pPr>
        <w:pStyle w:val="Version"/>
        <w:sectPr w:rsidSect="0035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CCF" w:rsidP="00355CCF">
      <w:pPr>
        <w:pStyle w:val="SuperHeading"/>
      </w:pPr>
      <w:r w:rsidRPr="00355CCF">
        <w:t>MSTML2009 Apply millinery sewing and adhesion techniques</w:t>
      </w:r>
    </w:p>
    <w:p w:rsidR="00000000" w:rsidRPr="00355CCF" w:rsidP="00355CCF">
      <w:pPr>
        <w:pStyle w:val="Heading1"/>
      </w:pPr>
      <w:bookmarkStart w:id="1" w:name="O_933947"/>
      <w:bookmarkEnd w:id="1"/>
      <w:r w:rsidRPr="00355CCF">
        <w:t>Modification History</w:t>
      </w:r>
    </w:p>
    <w:p w:rsidR="00000000" w:rsidRPr="00355CCF" w:rsidP="001A5D69">
      <w:pPr>
        <w:pStyle w:val="BodyText"/>
      </w:pPr>
      <w:r w:rsidRPr="00355CCF">
        <w:t>Release 1. Supersedes and is equivalent to LMTML2009A Apply millinery sewing and adhesion techniques</w:t>
      </w:r>
    </w:p>
    <w:p w:rsidR="00000000" w:rsidRPr="00355CCF" w:rsidP="00355CCF">
      <w:pPr>
        <w:pStyle w:val="Heading1"/>
      </w:pPr>
      <w:bookmarkStart w:id="2" w:name="O_933955"/>
      <w:bookmarkEnd w:id="2"/>
      <w:r w:rsidRPr="00355CCF">
        <w:t>Application</w:t>
      </w:r>
    </w:p>
    <w:p w:rsidR="00000000" w:rsidRPr="00355CCF" w:rsidP="001A5D69">
      <w:pPr>
        <w:pStyle w:val="BodyText"/>
      </w:pPr>
      <w:r w:rsidRPr="00355CCF">
        <w:t>This unit of competency covers the skills and knowledge required to select and apply appr</w:t>
      </w:r>
      <w:r w:rsidRPr="00355CCF">
        <w:t>opriate sewing and adhesion techniques to millinery construction and finishing processes.</w:t>
      </w:r>
    </w:p>
    <w:p w:rsidR="00000000" w:rsidRPr="00355CCF" w:rsidP="001A5D69">
      <w:pPr>
        <w:pStyle w:val="BodyText"/>
      </w:pPr>
      <w:r w:rsidRPr="00355CCF">
        <w:t>The unit of competency applies to identifying and applying a variety of hand sewing techniques used in millinery for joining, attaching components, attaching trims a</w:t>
      </w:r>
      <w:r w:rsidRPr="00355CCF">
        <w:t>nd finishing processes, and the safe use of millinery adhesives where appropriate.</w:t>
      </w:r>
    </w:p>
    <w:p w:rsidR="00000000" w:rsidRPr="00355CCF" w:rsidP="001A5D69">
      <w:pPr>
        <w:pStyle w:val="BodyText"/>
      </w:pPr>
      <w:r w:rsidRPr="00355CCF">
        <w:t>Work may be conducted in small to large scale enterprises and may involve individual and team activities.</w:t>
      </w:r>
    </w:p>
    <w:p w:rsidR="00000000" w:rsidRPr="00355CCF" w:rsidP="001A5D69">
      <w:pPr>
        <w:pStyle w:val="BodyText"/>
      </w:pPr>
      <w:r w:rsidRPr="00355CCF">
        <w:t xml:space="preserve">No licensing, legislative or certification requirements apply to </w:t>
      </w:r>
      <w:r w:rsidRPr="00355CCF">
        <w:t>this unit at the time of publication.</w:t>
      </w:r>
    </w:p>
    <w:p w:rsidR="00000000" w:rsidRPr="00355CCF" w:rsidP="00355CCF">
      <w:pPr>
        <w:pStyle w:val="Heading1"/>
      </w:pPr>
      <w:bookmarkStart w:id="3" w:name="O_933954"/>
      <w:bookmarkEnd w:id="3"/>
      <w:r w:rsidRPr="00355CCF">
        <w:t>Pre-requisite Unit</w:t>
      </w:r>
    </w:p>
    <w:p w:rsidR="00000000" w:rsidRPr="00355CCF" w:rsidP="001A5D69">
      <w:pPr>
        <w:pStyle w:val="BodyText"/>
      </w:pPr>
      <w:r w:rsidRPr="00355CCF">
        <w:t>Nil</w:t>
      </w:r>
    </w:p>
    <w:p w:rsidR="00000000" w:rsidRPr="00355CCF" w:rsidP="00355CCF">
      <w:pPr>
        <w:pStyle w:val="Heading1"/>
      </w:pPr>
      <w:bookmarkStart w:id="4" w:name="O_933953"/>
      <w:bookmarkEnd w:id="4"/>
      <w:r w:rsidRPr="00355CCF">
        <w:t>Competency Field</w:t>
      </w:r>
    </w:p>
    <w:p w:rsidR="00000000" w:rsidRPr="00355CCF" w:rsidP="001A5D69">
      <w:pPr>
        <w:pStyle w:val="BodyText"/>
      </w:pPr>
      <w:r w:rsidRPr="00355CCF">
        <w:t>Millinery</w:t>
      </w:r>
    </w:p>
    <w:p w:rsidR="00000000" w:rsidRPr="00355CCF" w:rsidP="00355CCF">
      <w:pPr>
        <w:pStyle w:val="Heading1"/>
      </w:pPr>
      <w:bookmarkStart w:id="5" w:name="O_933952"/>
      <w:bookmarkEnd w:id="5"/>
      <w:r w:rsidRPr="00355CCF">
        <w:t>Unit Sector</w:t>
      </w:r>
    </w:p>
    <w:p w:rsidR="00000000" w:rsidRPr="00355CCF" w:rsidP="001A5D69">
      <w:pPr>
        <w:pStyle w:val="BodyText"/>
      </w:pPr>
      <w:r w:rsidRPr="00355CCF">
        <w:t>Not applicable</w:t>
      </w:r>
    </w:p>
    <w:p w:rsidR="00000000" w:rsidRPr="00355CCF" w:rsidP="00355CCF">
      <w:pPr>
        <w:pStyle w:val="Heading1"/>
      </w:pPr>
      <w:bookmarkStart w:id="6" w:name="O_933951"/>
      <w:bookmarkEnd w:id="6"/>
      <w:r w:rsidRPr="00355C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5C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Elements describe the essential outcome</w:t>
            </w:r>
            <w:r w:rsidRPr="00355CCF">
              <w:t>s.</w:t>
            </w:r>
          </w:p>
        </w:tc>
        <w:tc>
          <w:tcPr>
            <w:tcW w:w="6380" w:type="dxa"/>
            <w:gridSpan w:val="2"/>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Performance criteria describe the performance needed to demonstrate achievement of the element.</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t>1</w:t>
            </w:r>
          </w:p>
        </w:tc>
        <w:tc>
          <w:tcPr>
            <w:tcW w:w="1962" w:type="dxa"/>
            <w:vMerge w:val="restart"/>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rPr>
                <w:rStyle w:val="SpecialBold"/>
              </w:rPr>
              <w:t xml:space="preserve">Determine job </w:t>
            </w:r>
            <w:r w:rsidRPr="00355CCF">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1.1</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Follow standard operating procedures (SOPs)</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1.2</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Comply with work health and safety (WHS) requirements at all times</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1.3</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Use appropriate personal protective equipment (PPE) in accordance with SOPs</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1.4</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Identify job requirements from specifications, drawings, job sheets or work instructions</w:t>
            </w:r>
          </w:p>
        </w:tc>
      </w:tr>
      <w:tr w:rsidTr="00355C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5CCF">
            <w:pPr>
              <w:pStyle w:val="BodyText"/>
              <w:rPr>
                <w:lang w:val="en-NZ"/>
              </w:rPr>
            </w:pP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t>2</w:t>
            </w:r>
          </w:p>
        </w:tc>
        <w:tc>
          <w:tcPr>
            <w:tcW w:w="1962" w:type="dxa"/>
            <w:vMerge w:val="restart"/>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rPr>
                <w:rStyle w:val="SpecialBold"/>
              </w:rPr>
              <w:t>Prepare to apply hand sewing and adhesion techniques</w:t>
            </w: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2.1</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Identify hand sewing techniques and millinery adhesives, and their application processes to millinery design and construction</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2.2</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Select threads and needles for the millinery application</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2.3</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Apply sewing techniques to millinery materials and componen</w:t>
            </w:r>
            <w:r w:rsidRPr="00355CCF">
              <w:t>ts</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2.4</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Select adhesives that are compatible to the millinery materials and millinery application</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2.5</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Follow manufacturer instructions for the use and application of adhesives</w:t>
            </w:r>
          </w:p>
        </w:tc>
      </w:tr>
      <w:tr w:rsidTr="00355C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5CCF">
            <w:pPr>
              <w:pStyle w:val="BodyText"/>
              <w:rPr>
                <w:lang w:val="en-NZ"/>
              </w:rPr>
            </w:pP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t>3</w:t>
            </w:r>
          </w:p>
        </w:tc>
        <w:tc>
          <w:tcPr>
            <w:tcW w:w="1962" w:type="dxa"/>
            <w:vMerge w:val="restart"/>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rPr>
                <w:rStyle w:val="SpecialBold"/>
              </w:rPr>
              <w:t>Use sewing and adhesion techniques to finish millinery</w:t>
            </w: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3.1</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Select sewing or adhesion techniques according to finishing requirements of millinery design</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3.2</w:t>
            </w:r>
          </w:p>
        </w:tc>
        <w:tc>
          <w:tcPr>
            <w:tcW w:w="561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Prepare millinery components for finishing.</w:t>
            </w:r>
          </w:p>
        </w:tc>
      </w:tr>
      <w:tr w:rsidTr="00355C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3.3</w:t>
            </w:r>
          </w:p>
        </w:tc>
        <w:tc>
          <w:tcPr>
            <w:tcW w:w="5610" w:type="dxa"/>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t>Finish millinery for presentation or despatch</w:t>
            </w:r>
          </w:p>
        </w:tc>
      </w:tr>
    </w:tbl>
    <w:p w:rsidR="00000000" w:rsidRPr="00355CCF" w:rsidP="00355CCF">
      <w:pPr>
        <w:pStyle w:val="BodyText"/>
      </w:pPr>
    </w:p>
    <w:p w:rsidR="00000000" w:rsidRPr="00355CCF" w:rsidP="00355CCF">
      <w:pPr>
        <w:pStyle w:val="AllowPageBreak"/>
      </w:pPr>
    </w:p>
    <w:p w:rsidR="00000000" w:rsidRPr="00355CCF" w:rsidP="00355CCF">
      <w:pPr>
        <w:pStyle w:val="Heading1"/>
      </w:pPr>
      <w:bookmarkStart w:id="7" w:name="O_933950"/>
      <w:bookmarkEnd w:id="7"/>
      <w:r w:rsidRPr="00355CCF">
        <w:t>Foundation Skills</w:t>
      </w:r>
    </w:p>
    <w:p w:rsidR="00000000" w:rsidRPr="00355CCF" w:rsidP="001A5D69">
      <w:pPr>
        <w:pStyle w:val="BodyText"/>
      </w:pPr>
      <w:r w:rsidRPr="00355CCF">
        <w:t>This section describes those required skills (language, literacy and numeracy) that are essential to performance.</w:t>
      </w:r>
    </w:p>
    <w:p w:rsidR="00000000" w:rsidRPr="00355CCF" w:rsidP="001A5D69">
      <w:pPr>
        <w:pStyle w:val="BodyText"/>
      </w:pPr>
      <w:r w:rsidRPr="00355CCF">
        <w:t>Foundation skills essential to performance are explicit in the performance criteria of this unit of competency.</w:t>
      </w:r>
    </w:p>
    <w:p w:rsidR="00000000" w:rsidRPr="00355CCF" w:rsidP="00355CCF">
      <w:pPr>
        <w:pStyle w:val="Heading1"/>
      </w:pPr>
      <w:bookmarkStart w:id="8" w:name="O_933949"/>
      <w:bookmarkEnd w:id="8"/>
      <w:r w:rsidRPr="00355CCF">
        <w:t>Range of Conditions</w:t>
      </w:r>
    </w:p>
    <w:tbl>
      <w:tblPr>
        <w:tblW w:w="0" w:type="auto"/>
        <w:tblCellMar>
          <w:left w:w="62" w:type="dxa"/>
          <w:right w:w="62" w:type="dxa"/>
        </w:tblCellMar>
        <w:tblLook w:val="0000"/>
      </w:tblPr>
      <w:tblGrid>
        <w:gridCol w:w="2163"/>
        <w:gridCol w:w="7033"/>
      </w:tblGrid>
      <w:tr w:rsidTr="001A5D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t>This field allows for different work environments and conditions that may affect performance. Essential operating conditions that may be present (depending on the work situation, needs of the candidate, accessibility of the item, and lo</w:t>
            </w:r>
            <w:r w:rsidRPr="00355CCF">
              <w:t>cal industry and regional contexts) are included.</w:t>
            </w:r>
          </w:p>
        </w:tc>
      </w:tr>
      <w:tr w:rsidTr="001A5D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5CCF">
            <w:pPr>
              <w:pStyle w:val="BodyText"/>
              <w:rPr>
                <w:lang w:val="en-NZ"/>
              </w:rPr>
            </w:pPr>
            <w:r w:rsidRPr="00355CC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5CCF" w:rsidP="00355CCF">
            <w:pPr>
              <w:pStyle w:val="ListBullet"/>
            </w:pPr>
            <w:r w:rsidRPr="00355CCF">
              <w:t>requirements prescribed by legislation, awards, agreements and conditions of employment</w:t>
            </w:r>
          </w:p>
          <w:p w:rsidR="00000000" w:rsidRPr="00355CCF" w:rsidP="00355CCF">
            <w:pPr>
              <w:pStyle w:val="ListBullet"/>
            </w:pPr>
            <w:r w:rsidRPr="00355CCF">
              <w:t>SOPs</w:t>
            </w:r>
          </w:p>
          <w:p w:rsidR="00000000" w:rsidRPr="00355CCF" w:rsidP="00355CCF">
            <w:pPr>
              <w:pStyle w:val="ListBullet"/>
            </w:pPr>
            <w:r w:rsidRPr="00355CCF">
              <w:t>work instructions</w:t>
            </w:r>
          </w:p>
          <w:p w:rsidR="00000000" w:rsidRPr="00355CCF" w:rsidP="00355CCF">
            <w:pPr>
              <w:pStyle w:val="ListBullet"/>
            </w:pPr>
            <w:r w:rsidRPr="00355CCF">
              <w:t>PPE</w:t>
            </w:r>
          </w:p>
          <w:p w:rsidR="00000000" w:rsidRPr="00355CCF" w:rsidP="00355CCF">
            <w:pPr>
              <w:pStyle w:val="ListBullet"/>
            </w:pPr>
            <w:r w:rsidRPr="00355CCF">
              <w:t>oral, written and visual comm</w:t>
            </w:r>
            <w:r w:rsidRPr="00355CCF">
              <w:t>unication</w:t>
            </w:r>
          </w:p>
          <w:p w:rsidR="00000000" w:rsidRPr="00355CCF" w:rsidP="00355CCF">
            <w:pPr>
              <w:pStyle w:val="ListBullet"/>
            </w:pPr>
            <w:r w:rsidRPr="00355CCF">
              <w:t>quality practices, including responsibility for maintenance of own work quality and contribution to quality improvement of team or section output</w:t>
            </w:r>
          </w:p>
          <w:p w:rsidR="00000000" w:rsidRPr="00355CCF" w:rsidP="00355CCF">
            <w:pPr>
              <w:pStyle w:val="ListBullet"/>
            </w:pPr>
            <w:r w:rsidRPr="00355CCF">
              <w:t>housekeeping</w:t>
            </w:r>
          </w:p>
          <w:p w:rsidR="00000000" w:rsidRPr="00355CCF" w:rsidP="00355CCF">
            <w:pPr>
              <w:pStyle w:val="ListBullet"/>
            </w:pPr>
            <w:r w:rsidRPr="00355CCF">
              <w:t>tasks related to environmental protection, waste disposal, pollution control and recycling</w:t>
            </w:r>
          </w:p>
          <w:p w:rsidR="00000000" w:rsidRPr="00355CCF" w:rsidP="00355CCF">
            <w:pPr>
              <w:pStyle w:val="ListBullet"/>
            </w:pPr>
            <w:r w:rsidRPr="00355CCF">
              <w:t>WHS practices</w:t>
            </w:r>
          </w:p>
          <w:p w:rsidR="00000000" w:rsidP="00355CCF">
            <w:pPr>
              <w:pStyle w:val="BodyText"/>
              <w:rPr>
                <w:lang w:val="en-NZ"/>
              </w:rPr>
            </w:pPr>
          </w:p>
        </w:tc>
      </w:tr>
      <w:tr w:rsidTr="001A5D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rPr>
                <w:rStyle w:val="SpecialBold"/>
              </w:rPr>
              <w:t>Hand sewing techniques include one or more of the following:</w:t>
            </w:r>
          </w:p>
          <w:p w:rsidR="00000000" w:rsidP="00355C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5CCF" w:rsidP="00355CCF">
            <w:pPr>
              <w:pStyle w:val="ListBullet"/>
            </w:pPr>
            <w:r w:rsidRPr="00355CCF">
              <w:t>buttonhole stitch</w:t>
            </w:r>
          </w:p>
          <w:p w:rsidR="00000000" w:rsidRPr="00355CCF" w:rsidP="00355CCF">
            <w:pPr>
              <w:pStyle w:val="ListBullet"/>
            </w:pPr>
            <w:r w:rsidRPr="00355CCF">
              <w:t>backstitch</w:t>
            </w:r>
          </w:p>
          <w:p w:rsidR="00000000" w:rsidRPr="00355CCF" w:rsidP="00355CCF">
            <w:pPr>
              <w:pStyle w:val="ListBullet"/>
            </w:pPr>
            <w:r w:rsidRPr="00355CCF">
              <w:t>tacking</w:t>
            </w:r>
          </w:p>
          <w:p w:rsidR="00000000" w:rsidRPr="00355CCF" w:rsidP="00355CCF">
            <w:pPr>
              <w:pStyle w:val="ListBullet"/>
            </w:pPr>
            <w:r w:rsidRPr="00355CCF">
              <w:t>straight hemming</w:t>
            </w:r>
          </w:p>
          <w:p w:rsidR="00000000" w:rsidRPr="00355CCF" w:rsidP="00355CCF">
            <w:pPr>
              <w:pStyle w:val="ListBullet"/>
            </w:pPr>
            <w:r w:rsidRPr="00355CCF">
              <w:t>slip stitch</w:t>
            </w:r>
          </w:p>
          <w:p w:rsidR="00000000" w:rsidRPr="00355CCF" w:rsidP="00355CCF">
            <w:pPr>
              <w:pStyle w:val="ListBullet"/>
            </w:pPr>
            <w:r w:rsidRPr="00355CCF">
              <w:t>stab stitch</w:t>
            </w:r>
          </w:p>
          <w:p w:rsidR="00000000" w:rsidRPr="00355CCF" w:rsidP="00355CCF">
            <w:pPr>
              <w:pStyle w:val="ListBullet"/>
            </w:pPr>
            <w:r w:rsidRPr="00355CCF">
              <w:t>darning</w:t>
            </w:r>
          </w:p>
          <w:p w:rsidR="00000000" w:rsidRPr="00355CCF" w:rsidP="00355CCF">
            <w:pPr>
              <w:pStyle w:val="ListBullet"/>
            </w:pPr>
            <w:r w:rsidRPr="00355CCF">
              <w:t>diagonal basting</w:t>
            </w:r>
          </w:p>
          <w:p w:rsidR="00000000" w:rsidRPr="00355CCF" w:rsidP="00355CCF">
            <w:pPr>
              <w:pStyle w:val="ListBullet"/>
            </w:pPr>
            <w:r w:rsidRPr="00355CCF">
              <w:t>lacing stitch</w:t>
            </w:r>
          </w:p>
          <w:p w:rsidR="00000000" w:rsidRPr="00355CCF" w:rsidP="00355CCF">
            <w:pPr>
              <w:pStyle w:val="ListBullet"/>
            </w:pPr>
            <w:r w:rsidRPr="00355CCF">
              <w:t>glove-stitch</w:t>
            </w:r>
          </w:p>
          <w:p w:rsidR="00000000" w:rsidRPr="00355CCF" w:rsidP="00355CCF">
            <w:pPr>
              <w:pStyle w:val="ListBullet"/>
            </w:pPr>
            <w:r w:rsidRPr="00355CCF">
              <w:t>catch stitch</w:t>
            </w:r>
          </w:p>
          <w:p w:rsidR="00000000" w:rsidP="00355CCF">
            <w:pPr>
              <w:pStyle w:val="BodyText"/>
              <w:rPr>
                <w:lang w:val="en-NZ"/>
              </w:rPr>
            </w:pPr>
          </w:p>
        </w:tc>
      </w:tr>
      <w:tr w:rsidTr="001A5D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rPr>
                <w:rStyle w:val="SpecialBold"/>
              </w:rPr>
              <w:t>Millinery application processes include one or more of the following:</w:t>
            </w:r>
          </w:p>
          <w:p w:rsidR="00000000" w:rsidP="00355C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5CCF" w:rsidP="00355CCF">
            <w:pPr>
              <w:pStyle w:val="ListBullet"/>
            </w:pPr>
            <w:r w:rsidRPr="00355CCF">
              <w:t>attaching wire</w:t>
            </w:r>
          </w:p>
          <w:p w:rsidR="00000000" w:rsidRPr="00355CCF" w:rsidP="00355CCF">
            <w:pPr>
              <w:pStyle w:val="ListBullet"/>
            </w:pPr>
            <w:r w:rsidRPr="00355CCF">
              <w:t>brim edge-finishing</w:t>
            </w:r>
          </w:p>
          <w:p w:rsidR="00000000" w:rsidRPr="00355CCF" w:rsidP="00355CCF">
            <w:pPr>
              <w:pStyle w:val="ListBullet"/>
            </w:pPr>
            <w:r w:rsidRPr="00355CCF">
              <w:t>applying linings</w:t>
            </w:r>
          </w:p>
          <w:p w:rsidR="00000000" w:rsidRPr="00355CCF" w:rsidP="00355CCF">
            <w:pPr>
              <w:pStyle w:val="ListBullet"/>
            </w:pPr>
            <w:r w:rsidRPr="00355CCF">
              <w:t>applying head ribbons</w:t>
            </w:r>
          </w:p>
          <w:p w:rsidR="00000000" w:rsidRPr="00355CCF" w:rsidP="00355CCF">
            <w:pPr>
              <w:pStyle w:val="ListBullet"/>
            </w:pPr>
            <w:r w:rsidRPr="00355CCF">
              <w:t>joining leather, felt and canvas</w:t>
            </w:r>
          </w:p>
          <w:p w:rsidR="00000000" w:rsidRPr="00355CCF" w:rsidP="00355CCF">
            <w:pPr>
              <w:pStyle w:val="ListBullet"/>
            </w:pPr>
            <w:r w:rsidRPr="00355CCF">
              <w:t>attaching trims</w:t>
            </w:r>
          </w:p>
          <w:p w:rsidR="00000000" w:rsidRPr="00355CCF" w:rsidP="00355CCF">
            <w:pPr>
              <w:pStyle w:val="ListBullet"/>
            </w:pPr>
            <w:r w:rsidRPr="00355CCF">
              <w:t>attaching labels</w:t>
            </w:r>
          </w:p>
          <w:p w:rsidR="00000000" w:rsidRPr="00355CCF" w:rsidP="00355CCF">
            <w:pPr>
              <w:pStyle w:val="ListBullet"/>
            </w:pPr>
            <w:r w:rsidRPr="00355CCF">
              <w:t>adhesion techniques where hand sewing cannot be used effectively</w:t>
            </w:r>
          </w:p>
          <w:p w:rsidR="00000000" w:rsidP="00355CCF">
            <w:pPr>
              <w:pStyle w:val="BodyText"/>
              <w:rPr>
                <w:lang w:val="en-NZ"/>
              </w:rPr>
            </w:pPr>
          </w:p>
        </w:tc>
      </w:tr>
      <w:tr w:rsidTr="001A5D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5CCF" w:rsidP="00355CCF">
            <w:pPr>
              <w:pStyle w:val="BodyText"/>
            </w:pPr>
            <w:r w:rsidRPr="00355CCF">
              <w:rPr>
                <w:rStyle w:val="SpecialBold"/>
              </w:rPr>
              <w:t>Compatible includes one or more of the following:</w:t>
            </w:r>
          </w:p>
          <w:p w:rsidR="00000000" w:rsidP="00355CC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5CCF" w:rsidP="00355CCF">
            <w:pPr>
              <w:pStyle w:val="ListBullet"/>
            </w:pPr>
            <w:r w:rsidRPr="00355CCF">
              <w:t xml:space="preserve">interpreting manufacturer advice on the chemical composition of the adhesive in order </w:t>
            </w:r>
            <w:r w:rsidRPr="00355CCF">
              <w:t>to determine the suitability of the adhesive to the millinery materials and the purpose for which it needs to be applied</w:t>
            </w:r>
          </w:p>
          <w:p w:rsidR="00000000" w:rsidRPr="00355CCF" w:rsidP="00355CCF">
            <w:pPr>
              <w:pStyle w:val="ListBullet"/>
            </w:pPr>
            <w:r w:rsidRPr="00355CCF">
              <w:t>testing the adhesive on a sample of the millinery materials to which it is to be applied</w:t>
            </w:r>
          </w:p>
        </w:tc>
      </w:tr>
    </w:tbl>
    <w:p w:rsidR="00000000" w:rsidRPr="00355CCF" w:rsidP="00355CCF">
      <w:pPr>
        <w:pStyle w:val="BodyText"/>
      </w:pPr>
    </w:p>
    <w:p w:rsidR="00000000" w:rsidRPr="00355CCF" w:rsidP="00355CCF">
      <w:pPr>
        <w:pStyle w:val="AllowPageBreak"/>
      </w:pPr>
    </w:p>
    <w:p w:rsidR="00000000" w:rsidRPr="00355CCF" w:rsidP="00355CCF">
      <w:pPr>
        <w:pStyle w:val="Heading1"/>
      </w:pPr>
      <w:bookmarkStart w:id="9" w:name="O_933948"/>
      <w:bookmarkEnd w:id="9"/>
      <w:r w:rsidRPr="00355CCF">
        <w:t>Unit Mapping Information</w:t>
      </w:r>
    </w:p>
    <w:p w:rsidR="00000000" w:rsidRPr="00355CCF" w:rsidP="001A5D69">
      <w:pPr>
        <w:pStyle w:val="BodyText"/>
      </w:pPr>
      <w:r w:rsidRPr="00355CCF">
        <w:t>Re</w:t>
      </w:r>
      <w:r w:rsidRPr="00355CCF">
        <w:t>lease 1. Supersedes and is equivalent to LMTML2009A Apply millinery sewing and adhesion techniques</w:t>
      </w:r>
    </w:p>
    <w:p w:rsidR="00000000" w:rsidRPr="00355CCF" w:rsidP="00355CCF">
      <w:pPr>
        <w:pStyle w:val="Heading1"/>
      </w:pPr>
      <w:bookmarkStart w:id="10" w:name="O_933941"/>
      <w:bookmarkEnd w:id="10"/>
      <w:r w:rsidRPr="00355CCF">
        <w:t>Links</w:t>
      </w:r>
    </w:p>
    <w:p w:rsidR="00000000" w:rsidRPr="00355CCF" w:rsidP="001A5D69">
      <w:pPr>
        <w:pStyle w:val="BodyText"/>
      </w:pPr>
      <w:r w:rsidRPr="00355CC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37DFC">
        <w:rPr>
          <w:rStyle w:val="Hyperlink"/>
        </w:rPr>
        <w:t>https://vetnet.gov.au/Pages/TrainingDocs.aspx?q=a203ec5c-de7d-406b-b3e1-8f1a9b76e92e</w:t>
      </w:r>
      <w:r>
        <w:fldChar w:fldCharType="end"/>
      </w:r>
    </w:p>
    <w:p w:rsidR="00000000" w:rsidRPr="00355CCF" w:rsidP="00355CCF"/>
    <w:sectPr w:rsidSect="00355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CF" w:rsidRPr="001A5D69" w:rsidP="001A5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9" w:rsidP="0035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D69" w:rsidP="00355C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5D69" w:rsidP="0035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CCF" w:rsidRPr="001A5D69" w:rsidP="001A5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D69" w:rsidRPr="002D2AF8" w:rsidP="00355CCF">
    <w:pPr>
      <w:pStyle w:val="Header"/>
      <w:framePr w:wrap="around"/>
    </w:pPr>
    <w:r>
      <w:fldChar w:fldCharType="begin"/>
    </w:r>
    <w:r>
      <w:instrText xml:space="preserve"> TITLE   \* MERGEFORMAT </w:instrText>
    </w:r>
    <w:r>
      <w:fldChar w:fldCharType="separate"/>
    </w:r>
    <w:r>
      <w:t>MSTML2009 Apply millinery sewing and adhesion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A5D69" w:rsidP="0035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43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1A0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CCF"/>
    <w:pPr>
      <w:spacing w:before="360" w:after="60"/>
      <w:outlineLvl w:val="0"/>
    </w:pPr>
    <w:rPr>
      <w:sz w:val="32"/>
    </w:rPr>
  </w:style>
  <w:style w:type="paragraph" w:styleId="Heading2">
    <w:name w:val="heading 2"/>
    <w:basedOn w:val="HeadingBase"/>
    <w:next w:val="BodyText"/>
    <w:link w:val="Heading2Char"/>
    <w:qFormat/>
    <w:rsid w:val="00355CCF"/>
    <w:pPr>
      <w:keepLines/>
      <w:spacing w:before="240" w:after="120"/>
      <w:outlineLvl w:val="1"/>
    </w:pPr>
    <w:rPr>
      <w:sz w:val="28"/>
      <w:szCs w:val="40"/>
    </w:rPr>
  </w:style>
  <w:style w:type="paragraph" w:styleId="Heading3">
    <w:name w:val="heading 3"/>
    <w:basedOn w:val="HeadingBase"/>
    <w:next w:val="BodyText"/>
    <w:link w:val="Heading3Char"/>
    <w:qFormat/>
    <w:rsid w:val="00355CCF"/>
    <w:pPr>
      <w:spacing w:before="180" w:after="120"/>
      <w:outlineLvl w:val="2"/>
    </w:pPr>
    <w:rPr>
      <w:spacing w:val="-10"/>
      <w:kern w:val="32"/>
    </w:rPr>
  </w:style>
  <w:style w:type="paragraph" w:styleId="Heading4">
    <w:name w:val="heading 4"/>
    <w:basedOn w:val="HeadingBase"/>
    <w:next w:val="BodyText"/>
    <w:link w:val="Heading4Char"/>
    <w:qFormat/>
    <w:rsid w:val="00355CCF"/>
    <w:pPr>
      <w:spacing w:before="160" w:after="120"/>
      <w:outlineLvl w:val="3"/>
    </w:pPr>
    <w:rPr>
      <w:sz w:val="22"/>
    </w:rPr>
  </w:style>
  <w:style w:type="paragraph" w:styleId="Heading5">
    <w:name w:val="heading 5"/>
    <w:basedOn w:val="HeadingBase"/>
    <w:next w:val="Normal"/>
    <w:link w:val="Heading5Char"/>
    <w:qFormat/>
    <w:rsid w:val="00355CCF"/>
    <w:pPr>
      <w:spacing w:before="80"/>
      <w:outlineLvl w:val="4"/>
    </w:pPr>
    <w:rPr>
      <w:color w:val="918585"/>
      <w:sz w:val="20"/>
    </w:rPr>
  </w:style>
  <w:style w:type="paragraph" w:styleId="Heading6">
    <w:name w:val="heading 6"/>
    <w:basedOn w:val="HeadingBase"/>
    <w:next w:val="Normal"/>
    <w:link w:val="Heading6Char"/>
    <w:qFormat/>
    <w:rsid w:val="00355CCF"/>
    <w:pPr>
      <w:spacing w:before="60"/>
      <w:outlineLvl w:val="5"/>
    </w:pPr>
    <w:rPr>
      <w:color w:val="918585"/>
      <w:sz w:val="20"/>
    </w:rPr>
  </w:style>
  <w:style w:type="paragraph" w:styleId="Heading7">
    <w:name w:val="heading 7"/>
    <w:basedOn w:val="Normal"/>
    <w:next w:val="Normal"/>
    <w:link w:val="Heading7Char"/>
    <w:qFormat/>
    <w:rsid w:val="00355CCF"/>
    <w:pPr>
      <w:ind w:left="720"/>
      <w:outlineLvl w:val="6"/>
    </w:pPr>
    <w:rPr>
      <w:i/>
    </w:rPr>
  </w:style>
  <w:style w:type="paragraph" w:styleId="Heading8">
    <w:name w:val="heading 8"/>
    <w:basedOn w:val="Normal"/>
    <w:next w:val="Normal"/>
    <w:link w:val="Heading8Char"/>
    <w:qFormat/>
    <w:rsid w:val="00355CCF"/>
    <w:pPr>
      <w:ind w:left="720"/>
      <w:outlineLvl w:val="7"/>
    </w:pPr>
    <w:rPr>
      <w:i/>
    </w:rPr>
  </w:style>
  <w:style w:type="paragraph" w:styleId="Heading9">
    <w:name w:val="heading 9"/>
    <w:basedOn w:val="Normal"/>
    <w:next w:val="Normal"/>
    <w:link w:val="Heading9Char"/>
    <w:qFormat/>
    <w:rsid w:val="00355CCF"/>
    <w:pPr>
      <w:ind w:left="720"/>
      <w:outlineLvl w:val="8"/>
    </w:pPr>
    <w:rPr>
      <w:i/>
    </w:rPr>
  </w:style>
  <w:style w:type="character" w:default="1" w:styleId="DefaultParagraphFont">
    <w:name w:val="Default Paragraph Font"/>
    <w:uiPriority w:val="1"/>
    <w:unhideWhenUsed/>
    <w:rsid w:val="0035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CCF"/>
  </w:style>
  <w:style w:type="character" w:customStyle="1" w:styleId="Heading1Char">
    <w:name w:val="Heading 1 Char"/>
    <w:basedOn w:val="DefaultParagraphFont"/>
    <w:link w:val="Heading1"/>
    <w:rsid w:val="00355CCF"/>
    <w:rPr>
      <w:rFonts w:ascii="Times New Roman" w:eastAsia="Times New Roman" w:hAnsi="Times New Roman" w:cs="Times New Roman"/>
      <w:b/>
      <w:sz w:val="32"/>
      <w:szCs w:val="20"/>
      <w:lang w:eastAsia="en-US"/>
    </w:rPr>
  </w:style>
  <w:style w:type="paragraph" w:styleId="BodyText">
    <w:name w:val="Body Text"/>
    <w:basedOn w:val="Normal"/>
    <w:link w:val="BodyTextChar"/>
    <w:rsid w:val="0035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CCF"/>
    <w:rPr>
      <w:rFonts w:ascii="Times New Roman" w:eastAsia="Times New Roman" w:hAnsi="Times New Roman" w:cs="Times New Roman"/>
      <w:sz w:val="24"/>
      <w:lang w:eastAsia="en-US"/>
    </w:rPr>
  </w:style>
  <w:style w:type="paragraph" w:styleId="ListBullet">
    <w:name w:val="List Bullet"/>
    <w:basedOn w:val="List"/>
    <w:rsid w:val="00355CCF"/>
    <w:pPr>
      <w:numPr>
        <w:numId w:val="11"/>
      </w:numPr>
      <w:tabs>
        <w:tab w:val="clear" w:pos="340"/>
      </w:tabs>
      <w:spacing w:before="40" w:after="40"/>
    </w:pPr>
  </w:style>
  <w:style w:type="character" w:customStyle="1" w:styleId="SpecialBold">
    <w:name w:val="Special Bold"/>
    <w:basedOn w:val="DefaultParagraphFont"/>
    <w:rsid w:val="00355CCF"/>
    <w:rPr>
      <w:b/>
      <w:spacing w:val="0"/>
    </w:rPr>
  </w:style>
  <w:style w:type="paragraph" w:customStyle="1" w:styleId="SuperHeading">
    <w:name w:val="SuperHeading"/>
    <w:basedOn w:val="Normal"/>
    <w:rsid w:val="00355CCF"/>
    <w:pPr>
      <w:spacing w:before="240" w:after="120"/>
      <w:outlineLvl w:val="0"/>
    </w:pPr>
    <w:rPr>
      <w:rFonts w:ascii="Times New Roman" w:hAnsi="Times New Roman"/>
      <w:b/>
      <w:sz w:val="32"/>
    </w:rPr>
  </w:style>
  <w:style w:type="paragraph" w:customStyle="1" w:styleId="AllowPageBreak">
    <w:name w:val="AllowPageBreak"/>
    <w:rsid w:val="00355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CCF"/>
    <w:rPr>
      <w:rFonts w:ascii="Courier New" w:eastAsia="Times New Roman" w:hAnsi="Courier New" w:cs="Times New Roman"/>
      <w:i/>
      <w:szCs w:val="20"/>
      <w:lang w:eastAsia="en-US"/>
    </w:rPr>
  </w:style>
  <w:style w:type="paragraph" w:customStyle="1" w:styleId="HeadingBase">
    <w:name w:val="Heading Base"/>
    <w:rsid w:val="0035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CCF"/>
    <w:pPr>
      <w:tabs>
        <w:tab w:val="right" w:leader="dot" w:pos="9072"/>
      </w:tabs>
      <w:ind w:left="567"/>
    </w:pPr>
    <w:rPr>
      <w:szCs w:val="22"/>
    </w:rPr>
  </w:style>
  <w:style w:type="paragraph" w:customStyle="1" w:styleId="TOCBase">
    <w:name w:val="TOC Base"/>
    <w:rsid w:val="0035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CCF"/>
    <w:pPr>
      <w:tabs>
        <w:tab w:val="right" w:leader="dot" w:pos="9072"/>
      </w:tabs>
      <w:spacing w:before="40" w:after="40"/>
      <w:ind w:left="284"/>
    </w:pPr>
    <w:rPr>
      <w:rFonts w:ascii="Times New Roman" w:hAnsi="Times New Roman"/>
    </w:rPr>
  </w:style>
  <w:style w:type="paragraph" w:styleId="TOC1">
    <w:name w:val="toc 1"/>
    <w:basedOn w:val="TOCBase"/>
    <w:next w:val="Normal"/>
    <w:rsid w:val="0035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CCF"/>
    <w:rPr>
      <w:rFonts w:ascii="Times New Roman" w:eastAsia="Times New Roman" w:hAnsi="Times New Roman" w:cs="Times New Roman"/>
      <w:sz w:val="16"/>
      <w:lang w:eastAsia="en-US"/>
    </w:rPr>
  </w:style>
  <w:style w:type="paragraph" w:styleId="Title">
    <w:name w:val="Title"/>
    <w:basedOn w:val="HeadingBase"/>
    <w:link w:val="TitleChar"/>
    <w:qFormat/>
    <w:rsid w:val="00355CCF"/>
    <w:pPr>
      <w:spacing w:before="5040"/>
      <w:jc w:val="center"/>
    </w:pPr>
    <w:rPr>
      <w:sz w:val="48"/>
      <w:szCs w:val="72"/>
      <w:lang w:val="en-US"/>
    </w:rPr>
  </w:style>
  <w:style w:type="character" w:customStyle="1" w:styleId="TitleChar">
    <w:name w:val="Title Char"/>
    <w:basedOn w:val="DefaultParagraphFont"/>
    <w:link w:val="Title"/>
    <w:rsid w:val="0035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CCF"/>
    <w:pPr>
      <w:tabs>
        <w:tab w:val="left" w:pos="3600"/>
        <w:tab w:val="left" w:pos="3958"/>
      </w:tabs>
    </w:pPr>
  </w:style>
  <w:style w:type="paragraph" w:styleId="List">
    <w:name w:val="List"/>
    <w:basedOn w:val="BodyText"/>
    <w:next w:val="BodyText"/>
    <w:rsid w:val="00355CCF"/>
    <w:pPr>
      <w:tabs>
        <w:tab w:val="left" w:pos="340"/>
      </w:tabs>
      <w:spacing w:before="60" w:after="60"/>
      <w:ind w:left="340" w:hanging="340"/>
    </w:pPr>
  </w:style>
  <w:style w:type="paragraph" w:customStyle="1" w:styleId="Note">
    <w:name w:val="Note"/>
    <w:basedOn w:val="BodyText"/>
    <w:rsid w:val="0035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CCF"/>
    <w:pPr>
      <w:framePr w:wrap="auto" w:hAnchor="text" w:y="6049"/>
    </w:pPr>
    <w:rPr>
      <w:color w:val="000000"/>
      <w:sz w:val="40"/>
    </w:rPr>
  </w:style>
  <w:style w:type="paragraph" w:customStyle="1" w:styleId="TOCTitle">
    <w:name w:val="TOCTitle"/>
    <w:basedOn w:val="Heading1"/>
    <w:rsid w:val="00355CCF"/>
    <w:pPr>
      <w:spacing w:after="240"/>
      <w:jc w:val="center"/>
      <w:outlineLvl w:val="9"/>
    </w:pPr>
    <w:rPr>
      <w:caps/>
    </w:rPr>
  </w:style>
  <w:style w:type="paragraph" w:customStyle="1" w:styleId="Version">
    <w:name w:val="Version"/>
    <w:rsid w:val="00355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CCF"/>
    <w:pPr>
      <w:numPr>
        <w:numId w:val="12"/>
      </w:numPr>
      <w:tabs>
        <w:tab w:val="clear" w:pos="680"/>
      </w:tabs>
    </w:pPr>
  </w:style>
  <w:style w:type="paragraph" w:styleId="Index1">
    <w:name w:val="index 1"/>
    <w:basedOn w:val="Normal"/>
    <w:next w:val="Normal"/>
    <w:semiHidden/>
    <w:rsid w:val="00355CCF"/>
    <w:pPr>
      <w:keepNext w:val="0"/>
      <w:tabs>
        <w:tab w:val="right" w:pos="4176"/>
      </w:tabs>
      <w:ind w:left="198" w:hanging="198"/>
    </w:pPr>
    <w:rPr>
      <w:rFonts w:ascii="Garamond" w:hAnsi="Garamond"/>
    </w:rPr>
  </w:style>
  <w:style w:type="paragraph" w:styleId="IndexHeading">
    <w:name w:val="index heading"/>
    <w:basedOn w:val="Normal"/>
    <w:next w:val="Index1"/>
    <w:semiHidden/>
    <w:rsid w:val="00355CCF"/>
    <w:pPr>
      <w:spacing w:before="120" w:after="120"/>
    </w:pPr>
    <w:rPr>
      <w:rFonts w:ascii="Arial" w:hAnsi="Arial"/>
      <w:b/>
      <w:color w:val="918585"/>
      <w:sz w:val="24"/>
    </w:rPr>
  </w:style>
  <w:style w:type="paragraph" w:styleId="Header">
    <w:name w:val="header"/>
    <w:basedOn w:val="Normal"/>
    <w:link w:val="HeaderChar"/>
    <w:rsid w:val="0035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CCF"/>
    <w:rPr>
      <w:rFonts w:ascii="Times New Roman" w:eastAsia="Times New Roman" w:hAnsi="Times New Roman" w:cs="Times New Roman"/>
      <w:sz w:val="16"/>
      <w:szCs w:val="20"/>
      <w:lang w:val="en-GB" w:eastAsia="en-US"/>
    </w:rPr>
  </w:style>
  <w:style w:type="paragraph" w:customStyle="1" w:styleId="Chapter">
    <w:name w:val="Chapter"/>
    <w:basedOn w:val="Normal"/>
    <w:rsid w:val="00355CCF"/>
    <w:pPr>
      <w:spacing w:before="240"/>
    </w:pPr>
    <w:rPr>
      <w:rFonts w:ascii="Times New Roman" w:hAnsi="Times New Roman"/>
      <w:smallCaps/>
      <w:spacing w:val="80"/>
      <w:sz w:val="28"/>
    </w:rPr>
  </w:style>
  <w:style w:type="paragraph" w:customStyle="1" w:styleId="InChapter">
    <w:name w:val="InChapter"/>
    <w:basedOn w:val="Heading3"/>
    <w:rsid w:val="00355CCF"/>
    <w:pPr>
      <w:spacing w:after="240"/>
      <w:outlineLvl w:val="9"/>
    </w:pPr>
    <w:rPr>
      <w:noProof/>
    </w:rPr>
  </w:style>
  <w:style w:type="paragraph" w:styleId="Index2">
    <w:name w:val="index 2"/>
    <w:basedOn w:val="Normal"/>
    <w:next w:val="Normal"/>
    <w:semiHidden/>
    <w:rsid w:val="00355CCF"/>
    <w:pPr>
      <w:tabs>
        <w:tab w:val="right" w:pos="4176"/>
      </w:tabs>
      <w:ind w:left="568" w:hanging="284"/>
    </w:pPr>
    <w:rPr>
      <w:rFonts w:ascii="Garamond" w:hAnsi="Garamond"/>
    </w:rPr>
  </w:style>
  <w:style w:type="paragraph" w:customStyle="1" w:styleId="Byline">
    <w:name w:val="Byline"/>
    <w:rsid w:val="0035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CCF"/>
    <w:pPr>
      <w:tabs>
        <w:tab w:val="clear" w:pos="3600"/>
        <w:tab w:val="clear" w:pos="3958"/>
      </w:tabs>
      <w:jc w:val="right"/>
    </w:pPr>
  </w:style>
  <w:style w:type="character" w:styleId="Emphasis">
    <w:name w:val="Emphasis"/>
    <w:basedOn w:val="DefaultParagraphFont"/>
    <w:qFormat/>
    <w:rsid w:val="00355CCF"/>
    <w:rPr>
      <w:i/>
    </w:rPr>
  </w:style>
  <w:style w:type="paragraph" w:styleId="Caption">
    <w:name w:val="caption"/>
    <w:basedOn w:val="BodyText"/>
    <w:next w:val="Normal"/>
    <w:qFormat/>
    <w:rsid w:val="00355CCF"/>
    <w:pPr>
      <w:framePr w:w="2268" w:hSpace="181" w:vSpace="181" w:wrap="around" w:vAnchor="text" w:hAnchor="page" w:x="1135" w:y="285" w:anchorLock="1"/>
    </w:pPr>
    <w:rPr>
      <w:i/>
    </w:rPr>
  </w:style>
  <w:style w:type="paragraph" w:customStyle="1" w:styleId="MiniTOCTitle">
    <w:name w:val="MiniTOCTitle"/>
    <w:basedOn w:val="Heading4"/>
    <w:rsid w:val="00355CCF"/>
    <w:pPr>
      <w:spacing w:before="240"/>
      <w:outlineLvl w:val="9"/>
    </w:pPr>
    <w:rPr>
      <w:noProof/>
      <w:sz w:val="24"/>
    </w:rPr>
  </w:style>
  <w:style w:type="paragraph" w:customStyle="1" w:styleId="MiniTOCItem">
    <w:name w:val="MiniTOCItem"/>
    <w:basedOn w:val="ListBullet"/>
    <w:rsid w:val="00355CCF"/>
    <w:pPr>
      <w:numPr>
        <w:numId w:val="0"/>
      </w:numPr>
      <w:tabs>
        <w:tab w:val="right" w:leader="dot" w:pos="6521"/>
      </w:tabs>
      <w:spacing w:before="0" w:after="0"/>
    </w:pPr>
  </w:style>
  <w:style w:type="paragraph" w:customStyle="1" w:styleId="TOFTitle">
    <w:name w:val="TOFTitle"/>
    <w:basedOn w:val="TOCTitle"/>
    <w:rsid w:val="00355CCF"/>
  </w:style>
  <w:style w:type="paragraph" w:styleId="TableofFigures">
    <w:name w:val="table of figures"/>
    <w:basedOn w:val="Normal"/>
    <w:next w:val="Normal"/>
    <w:semiHidden/>
    <w:rsid w:val="00355CCF"/>
    <w:pPr>
      <w:tabs>
        <w:tab w:val="right" w:leader="dot" w:pos="9072"/>
      </w:tabs>
      <w:ind w:left="970" w:hanging="403"/>
    </w:pPr>
    <w:rPr>
      <w:rFonts w:ascii="Times New Roman" w:hAnsi="Times New Roman"/>
      <w:b/>
    </w:rPr>
  </w:style>
  <w:style w:type="paragraph" w:styleId="ListNumber">
    <w:name w:val="List Number"/>
    <w:basedOn w:val="List"/>
    <w:rsid w:val="00355CCF"/>
    <w:pPr>
      <w:numPr>
        <w:numId w:val="14"/>
      </w:numPr>
      <w:tabs>
        <w:tab w:val="clear" w:pos="340"/>
      </w:tabs>
    </w:pPr>
  </w:style>
  <w:style w:type="character" w:customStyle="1" w:styleId="WingdingSymbols">
    <w:name w:val="Wingding Symbols"/>
    <w:rsid w:val="00355CCF"/>
    <w:rPr>
      <w:rFonts w:ascii="Wingdings" w:hAnsi="Wingdings"/>
    </w:rPr>
  </w:style>
  <w:style w:type="paragraph" w:customStyle="1" w:styleId="TableHeading">
    <w:name w:val="Table Heading"/>
    <w:basedOn w:val="HeadingBase"/>
    <w:rsid w:val="00355CCF"/>
    <w:pPr>
      <w:keepLines/>
      <w:pBdr>
        <w:bottom w:val="single" w:sz="6" w:space="1" w:color="918585"/>
      </w:pBdr>
      <w:spacing w:before="240"/>
    </w:pPr>
  </w:style>
  <w:style w:type="character" w:customStyle="1" w:styleId="HotSpot">
    <w:name w:val="HotSpot"/>
    <w:rsid w:val="00355CCF"/>
    <w:rPr>
      <w:color w:val="0033CC"/>
      <w:u w:val="none"/>
    </w:rPr>
  </w:style>
  <w:style w:type="paragraph" w:customStyle="1" w:styleId="BodyTextRight">
    <w:name w:val="Body Text Right"/>
    <w:basedOn w:val="BodyText"/>
    <w:rsid w:val="00355CCF"/>
    <w:pPr>
      <w:spacing w:before="0" w:after="0"/>
      <w:jc w:val="right"/>
    </w:pPr>
  </w:style>
  <w:style w:type="paragraph" w:styleId="Index3">
    <w:name w:val="index 3"/>
    <w:basedOn w:val="ListNumber2"/>
    <w:next w:val="Normal"/>
    <w:semiHidden/>
    <w:rsid w:val="00355CCF"/>
    <w:pPr>
      <w:numPr>
        <w:numId w:val="0"/>
      </w:numPr>
      <w:tabs>
        <w:tab w:val="right" w:leader="dot" w:pos="4176"/>
      </w:tabs>
    </w:pPr>
  </w:style>
  <w:style w:type="paragraph" w:styleId="ListNumber2">
    <w:name w:val="List Number 2"/>
    <w:basedOn w:val="List2"/>
    <w:rsid w:val="00355CCF"/>
    <w:pPr>
      <w:numPr>
        <w:numId w:val="9"/>
      </w:numPr>
      <w:tabs>
        <w:tab w:val="clear" w:pos="1060"/>
      </w:tabs>
    </w:pPr>
  </w:style>
  <w:style w:type="paragraph" w:customStyle="1" w:styleId="MarginNote">
    <w:name w:val="Margin Note"/>
    <w:basedOn w:val="BodyText"/>
    <w:rsid w:val="0035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CCF"/>
    <w:rPr>
      <w:sz w:val="32"/>
    </w:rPr>
  </w:style>
  <w:style w:type="paragraph" w:customStyle="1" w:styleId="HeadingProcedure">
    <w:name w:val="Heading Procedure"/>
    <w:basedOn w:val="HeadingBase"/>
    <w:next w:val="Normal"/>
    <w:rsid w:val="00355CCF"/>
    <w:pPr>
      <w:tabs>
        <w:tab w:val="left" w:pos="0"/>
      </w:tabs>
      <w:spacing w:before="120" w:after="60"/>
    </w:pPr>
    <w:rPr>
      <w:i/>
      <w:color w:val="918585"/>
      <w:sz w:val="22"/>
    </w:rPr>
  </w:style>
  <w:style w:type="paragraph" w:customStyle="1" w:styleId="TableBodyText">
    <w:name w:val="Table Body Text"/>
    <w:basedOn w:val="BodyText"/>
    <w:rsid w:val="00355CCF"/>
    <w:pPr>
      <w:spacing w:before="60" w:after="60"/>
    </w:pPr>
  </w:style>
  <w:style w:type="paragraph" w:styleId="ListContinue">
    <w:name w:val="List Continue"/>
    <w:basedOn w:val="List"/>
    <w:rsid w:val="00355CCF"/>
    <w:pPr>
      <w:ind w:firstLine="0"/>
    </w:pPr>
  </w:style>
  <w:style w:type="paragraph" w:customStyle="1" w:styleId="ListNote">
    <w:name w:val="List Note"/>
    <w:basedOn w:val="List"/>
    <w:rsid w:val="00355CCF"/>
    <w:pPr>
      <w:pBdr>
        <w:top w:val="single" w:sz="6" w:space="2" w:color="918585"/>
        <w:bottom w:val="single" w:sz="6" w:space="2" w:color="918585"/>
      </w:pBdr>
      <w:tabs>
        <w:tab w:val="left" w:pos="1021"/>
      </w:tabs>
      <w:ind w:firstLine="0"/>
    </w:pPr>
  </w:style>
  <w:style w:type="paragraph" w:customStyle="1" w:styleId="Warning">
    <w:name w:val="Warning"/>
    <w:basedOn w:val="BodyText"/>
    <w:rsid w:val="00355CCF"/>
    <w:pPr>
      <w:shd w:val="clear" w:color="auto" w:fill="D9D9D9"/>
      <w:tabs>
        <w:tab w:val="left" w:pos="992"/>
      </w:tabs>
      <w:ind w:left="119" w:right="119"/>
    </w:pPr>
    <w:rPr>
      <w:sz w:val="20"/>
    </w:rPr>
  </w:style>
  <w:style w:type="paragraph" w:customStyle="1" w:styleId="MarginIcons">
    <w:name w:val="Margin Icons"/>
    <w:basedOn w:val="BodyText"/>
    <w:rsid w:val="0035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CCF"/>
    <w:rPr>
      <w:rFonts w:ascii="Courier New" w:hAnsi="Courier New"/>
    </w:rPr>
  </w:style>
  <w:style w:type="paragraph" w:customStyle="1" w:styleId="NoteBullet">
    <w:name w:val="Note Bullet"/>
    <w:basedOn w:val="Note"/>
    <w:rsid w:val="00355CCF"/>
    <w:pPr>
      <w:tabs>
        <w:tab w:val="clear" w:pos="680"/>
      </w:tabs>
      <w:spacing w:before="60" w:after="60"/>
    </w:pPr>
  </w:style>
  <w:style w:type="paragraph" w:customStyle="1" w:styleId="SubHeading2">
    <w:name w:val="SubHeading2"/>
    <w:basedOn w:val="HeadingBase"/>
    <w:rsid w:val="00355CCF"/>
    <w:pPr>
      <w:spacing w:before="240" w:after="60"/>
    </w:pPr>
    <w:rPr>
      <w:sz w:val="20"/>
    </w:rPr>
  </w:style>
  <w:style w:type="paragraph" w:customStyle="1" w:styleId="SubHeading1">
    <w:name w:val="SubHeading1"/>
    <w:basedOn w:val="HeadingBase"/>
    <w:rsid w:val="00355CCF"/>
    <w:pPr>
      <w:spacing w:before="240" w:after="60"/>
    </w:pPr>
    <w:rPr>
      <w:color w:val="918585"/>
      <w:sz w:val="22"/>
    </w:rPr>
  </w:style>
  <w:style w:type="paragraph" w:customStyle="1" w:styleId="SideHeading">
    <w:name w:val="Side Heading"/>
    <w:basedOn w:val="HeadingBase"/>
    <w:rsid w:val="0035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CCF"/>
    <w:pPr>
      <w:numPr>
        <w:numId w:val="10"/>
      </w:numPr>
    </w:pPr>
  </w:style>
  <w:style w:type="paragraph" w:styleId="PlainText">
    <w:name w:val="Plain Text"/>
    <w:basedOn w:val="Normal"/>
    <w:link w:val="PlainTextChar"/>
    <w:rsid w:val="00355CCF"/>
    <w:rPr>
      <w:sz w:val="20"/>
    </w:rPr>
  </w:style>
  <w:style w:type="character" w:customStyle="1" w:styleId="PlainTextChar">
    <w:name w:val="Plain Text Char"/>
    <w:basedOn w:val="DefaultParagraphFont"/>
    <w:link w:val="PlainText"/>
    <w:rsid w:val="00355CCF"/>
    <w:rPr>
      <w:rFonts w:ascii="Courier New" w:eastAsia="Times New Roman" w:hAnsi="Courier New" w:cs="Times New Roman"/>
      <w:sz w:val="20"/>
      <w:szCs w:val="20"/>
      <w:lang w:eastAsia="en-US"/>
    </w:rPr>
  </w:style>
  <w:style w:type="character" w:customStyle="1" w:styleId="MenuOption">
    <w:name w:val="Menu Option"/>
    <w:basedOn w:val="DefaultParagraphFont"/>
    <w:rsid w:val="00355CCF"/>
    <w:rPr>
      <w:b/>
      <w:smallCaps/>
    </w:rPr>
  </w:style>
  <w:style w:type="paragraph" w:customStyle="1" w:styleId="TableListNumber">
    <w:name w:val="Table List Number"/>
    <w:basedOn w:val="ListNumber"/>
    <w:rsid w:val="00355CCF"/>
    <w:pPr>
      <w:numPr>
        <w:numId w:val="0"/>
      </w:numPr>
    </w:pPr>
  </w:style>
  <w:style w:type="paragraph" w:styleId="TOC4">
    <w:name w:val="toc 4"/>
    <w:basedOn w:val="TOCBase"/>
    <w:next w:val="Normal"/>
    <w:semiHidden/>
    <w:rsid w:val="00355CCF"/>
    <w:pPr>
      <w:tabs>
        <w:tab w:val="right" w:leader="dot" w:pos="9071"/>
      </w:tabs>
      <w:ind w:left="1701"/>
    </w:pPr>
  </w:style>
  <w:style w:type="paragraph" w:customStyle="1" w:styleId="ListAlpha">
    <w:name w:val="List Alpha"/>
    <w:basedOn w:val="List"/>
    <w:rsid w:val="00355CCF"/>
    <w:pPr>
      <w:numPr>
        <w:numId w:val="8"/>
      </w:numPr>
    </w:pPr>
  </w:style>
  <w:style w:type="paragraph" w:customStyle="1" w:styleId="ListAlpha2">
    <w:name w:val="List Alpha 2"/>
    <w:basedOn w:val="List2"/>
    <w:rsid w:val="00355CCF"/>
    <w:pPr>
      <w:numPr>
        <w:numId w:val="7"/>
      </w:numPr>
    </w:pPr>
  </w:style>
  <w:style w:type="paragraph" w:styleId="List2">
    <w:name w:val="List 2"/>
    <w:basedOn w:val="BodyText"/>
    <w:rsid w:val="00355CCF"/>
    <w:pPr>
      <w:tabs>
        <w:tab w:val="left" w:pos="680"/>
      </w:tabs>
      <w:spacing w:before="60" w:after="60"/>
      <w:ind w:left="680" w:hanging="340"/>
    </w:pPr>
  </w:style>
  <w:style w:type="paragraph" w:styleId="List3">
    <w:name w:val="List 3"/>
    <w:basedOn w:val="BodyText"/>
    <w:rsid w:val="00355CCF"/>
    <w:pPr>
      <w:tabs>
        <w:tab w:val="left" w:pos="1021"/>
      </w:tabs>
      <w:spacing w:before="60" w:after="60"/>
      <w:ind w:left="1020" w:hanging="340"/>
    </w:pPr>
  </w:style>
  <w:style w:type="paragraph" w:styleId="List4">
    <w:name w:val="List 4"/>
    <w:basedOn w:val="BodyText"/>
    <w:rsid w:val="00355CCF"/>
    <w:pPr>
      <w:tabs>
        <w:tab w:val="left" w:pos="1361"/>
      </w:tabs>
      <w:spacing w:before="60" w:after="60"/>
      <w:ind w:left="1361" w:hanging="340"/>
    </w:pPr>
  </w:style>
  <w:style w:type="paragraph" w:styleId="List5">
    <w:name w:val="List 5"/>
    <w:basedOn w:val="BodyText"/>
    <w:rsid w:val="00355CCF"/>
    <w:pPr>
      <w:tabs>
        <w:tab w:val="left" w:pos="1701"/>
      </w:tabs>
      <w:spacing w:before="60" w:after="60"/>
      <w:ind w:left="1701" w:hanging="340"/>
    </w:pPr>
  </w:style>
  <w:style w:type="paragraph" w:styleId="ListBullet3">
    <w:name w:val="List Bullet 3"/>
    <w:basedOn w:val="List3"/>
    <w:rsid w:val="00355CCF"/>
    <w:pPr>
      <w:numPr>
        <w:numId w:val="13"/>
      </w:numPr>
      <w:tabs>
        <w:tab w:val="clear" w:pos="1021"/>
      </w:tabs>
      <w:ind w:left="1037" w:hanging="357"/>
    </w:pPr>
  </w:style>
  <w:style w:type="paragraph" w:styleId="ListBullet4">
    <w:name w:val="List Bullet 4"/>
    <w:basedOn w:val="List4"/>
    <w:rsid w:val="00355CCF"/>
    <w:pPr>
      <w:numPr>
        <w:numId w:val="2"/>
      </w:numPr>
      <w:tabs>
        <w:tab w:val="clear" w:pos="1361"/>
      </w:tabs>
    </w:pPr>
  </w:style>
  <w:style w:type="paragraph" w:styleId="ListBullet5">
    <w:name w:val="List Bullet 5"/>
    <w:basedOn w:val="List5"/>
    <w:rsid w:val="00355CCF"/>
    <w:pPr>
      <w:numPr>
        <w:numId w:val="3"/>
      </w:numPr>
    </w:pPr>
  </w:style>
  <w:style w:type="paragraph" w:styleId="ListContinue2">
    <w:name w:val="List Continue 2"/>
    <w:basedOn w:val="List2"/>
    <w:rsid w:val="00355CCF"/>
    <w:pPr>
      <w:ind w:firstLine="0"/>
    </w:pPr>
  </w:style>
  <w:style w:type="paragraph" w:styleId="ListContinue3">
    <w:name w:val="List Continue 3"/>
    <w:basedOn w:val="List3"/>
    <w:rsid w:val="00355CCF"/>
    <w:pPr>
      <w:ind w:left="1021" w:firstLine="0"/>
    </w:pPr>
  </w:style>
  <w:style w:type="paragraph" w:styleId="ListContinue4">
    <w:name w:val="List Continue 4"/>
    <w:basedOn w:val="List4"/>
    <w:rsid w:val="00355CCF"/>
    <w:pPr>
      <w:ind w:firstLine="0"/>
    </w:pPr>
  </w:style>
  <w:style w:type="paragraph" w:styleId="ListContinue5">
    <w:name w:val="List Continue 5"/>
    <w:basedOn w:val="List5"/>
    <w:rsid w:val="00355CCF"/>
    <w:pPr>
      <w:ind w:firstLine="0"/>
    </w:pPr>
  </w:style>
  <w:style w:type="paragraph" w:styleId="ListNumber3">
    <w:name w:val="List Number 3"/>
    <w:basedOn w:val="List3"/>
    <w:rsid w:val="00355CCF"/>
    <w:pPr>
      <w:numPr>
        <w:numId w:val="4"/>
      </w:numPr>
    </w:pPr>
  </w:style>
  <w:style w:type="paragraph" w:styleId="ListNumber4">
    <w:name w:val="List Number 4"/>
    <w:basedOn w:val="List4"/>
    <w:rsid w:val="00355CCF"/>
    <w:pPr>
      <w:numPr>
        <w:numId w:val="5"/>
      </w:numPr>
    </w:pPr>
  </w:style>
  <w:style w:type="paragraph" w:styleId="ListNumber5">
    <w:name w:val="List Number 5"/>
    <w:basedOn w:val="List5"/>
    <w:rsid w:val="00355CCF"/>
    <w:pPr>
      <w:numPr>
        <w:numId w:val="6"/>
      </w:numPr>
    </w:pPr>
  </w:style>
  <w:style w:type="paragraph" w:styleId="BlockText">
    <w:name w:val="Block Text"/>
    <w:basedOn w:val="Normal"/>
    <w:rsid w:val="00355CCF"/>
    <w:pPr>
      <w:spacing w:after="120"/>
      <w:ind w:left="1440" w:right="1440"/>
    </w:pPr>
  </w:style>
  <w:style w:type="character" w:customStyle="1" w:styleId="Subscript">
    <w:name w:val="Subscript"/>
    <w:basedOn w:val="DefaultParagraphFont"/>
    <w:rsid w:val="00355CCF"/>
    <w:rPr>
      <w:sz w:val="16"/>
      <w:vertAlign w:val="subscript"/>
    </w:rPr>
  </w:style>
  <w:style w:type="character" w:customStyle="1" w:styleId="Superscript">
    <w:name w:val="Superscript"/>
    <w:basedOn w:val="DefaultParagraphFont"/>
    <w:rsid w:val="00355CCF"/>
    <w:rPr>
      <w:sz w:val="16"/>
      <w:vertAlign w:val="superscript"/>
    </w:rPr>
  </w:style>
  <w:style w:type="character" w:customStyle="1" w:styleId="Symbols">
    <w:name w:val="Symbols"/>
    <w:basedOn w:val="DefaultParagraphFont"/>
    <w:rsid w:val="00355CCF"/>
    <w:rPr>
      <w:rFonts w:ascii="Symbol" w:hAnsi="Symbol"/>
    </w:rPr>
  </w:style>
  <w:style w:type="character" w:customStyle="1" w:styleId="MenuOptions">
    <w:name w:val="Menu Options"/>
    <w:basedOn w:val="DefaultParagraphFont"/>
    <w:rsid w:val="00355CCF"/>
    <w:rPr>
      <w:rFonts w:ascii="Arial Narrow" w:hAnsi="Arial Narrow"/>
      <w:smallCaps/>
    </w:rPr>
  </w:style>
  <w:style w:type="character" w:customStyle="1" w:styleId="Buttons">
    <w:name w:val="Buttons"/>
    <w:basedOn w:val="DefaultParagraphFont"/>
    <w:rsid w:val="00355CCF"/>
    <w:rPr>
      <w:b/>
    </w:rPr>
  </w:style>
  <w:style w:type="character" w:customStyle="1" w:styleId="Underlined">
    <w:name w:val="Underlined"/>
    <w:basedOn w:val="DefaultParagraphFont"/>
    <w:rsid w:val="00355CCF"/>
    <w:rPr>
      <w:u w:val="single"/>
    </w:rPr>
  </w:style>
  <w:style w:type="paragraph" w:customStyle="1" w:styleId="TableBodyTextRight">
    <w:name w:val="Table Body Text Right"/>
    <w:basedOn w:val="TableBodyText"/>
    <w:rsid w:val="00355CCF"/>
    <w:pPr>
      <w:widowControl w:val="0"/>
      <w:autoSpaceDE w:val="0"/>
      <w:autoSpaceDN w:val="0"/>
      <w:adjustRightInd w:val="0"/>
      <w:jc w:val="right"/>
    </w:pPr>
    <w:rPr>
      <w:rFonts w:cs="Arial"/>
      <w:szCs w:val="18"/>
    </w:rPr>
  </w:style>
  <w:style w:type="paragraph" w:customStyle="1" w:styleId="CopyrightText">
    <w:name w:val="Copyright Text"/>
    <w:basedOn w:val="BodyText"/>
    <w:rsid w:val="00355CCF"/>
    <w:rPr>
      <w:sz w:val="18"/>
    </w:rPr>
  </w:style>
  <w:style w:type="paragraph" w:customStyle="1" w:styleId="BodySmallRight">
    <w:name w:val="Body Small Right"/>
    <w:basedOn w:val="BodyTextRight"/>
    <w:rsid w:val="00355CCF"/>
    <w:rPr>
      <w:sz w:val="18"/>
      <w:szCs w:val="18"/>
    </w:rPr>
  </w:style>
  <w:style w:type="paragraph" w:customStyle="1" w:styleId="MarginEdition">
    <w:name w:val="Margin Edition"/>
    <w:basedOn w:val="MarginNote"/>
    <w:rsid w:val="00355CCF"/>
    <w:pPr>
      <w:spacing w:before="0" w:after="0"/>
    </w:pPr>
    <w:rPr>
      <w:rFonts w:ascii="Times New Roman" w:hAnsi="Times New Roman"/>
      <w:color w:val="999999"/>
    </w:rPr>
  </w:style>
  <w:style w:type="paragraph" w:customStyle="1" w:styleId="Spacer">
    <w:name w:val="Spacer"/>
    <w:basedOn w:val="Normal"/>
    <w:rsid w:val="00355CCF"/>
    <w:rPr>
      <w:sz w:val="2"/>
      <w:szCs w:val="2"/>
    </w:rPr>
  </w:style>
  <w:style w:type="character" w:customStyle="1" w:styleId="Small">
    <w:name w:val="Small"/>
    <w:basedOn w:val="DefaultParagraphFont"/>
    <w:rsid w:val="00355CCF"/>
    <w:rPr>
      <w:sz w:val="16"/>
    </w:rPr>
  </w:style>
  <w:style w:type="paragraph" w:customStyle="1" w:styleId="WideTable">
    <w:name w:val="Wide Table"/>
    <w:basedOn w:val="Normal"/>
    <w:rsid w:val="00355CCF"/>
    <w:pPr>
      <w:ind w:left="-1418"/>
    </w:pPr>
    <w:rPr>
      <w:sz w:val="2"/>
      <w:szCs w:val="2"/>
    </w:rPr>
  </w:style>
  <w:style w:type="character" w:styleId="PageNumber">
    <w:name w:val="page number"/>
    <w:basedOn w:val="DefaultParagraphFont"/>
    <w:rsid w:val="00355CCF"/>
  </w:style>
  <w:style w:type="paragraph" w:styleId="Quote">
    <w:name w:val="Quote"/>
    <w:basedOn w:val="Heading1"/>
    <w:link w:val="QuoteChar"/>
    <w:qFormat/>
    <w:rsid w:val="00355CCF"/>
    <w:rPr>
      <w:b w:val="0"/>
      <w:sz w:val="72"/>
      <w:szCs w:val="72"/>
      <w:lang w:val="en-NZ"/>
    </w:rPr>
  </w:style>
  <w:style w:type="character" w:customStyle="1" w:styleId="QuoteChar">
    <w:name w:val="Quote Char"/>
    <w:basedOn w:val="DefaultParagraphFont"/>
    <w:link w:val="Quote"/>
    <w:rsid w:val="0035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CCF"/>
    <w:pPr>
      <w:pageBreakBefore/>
    </w:pPr>
  </w:style>
  <w:style w:type="paragraph" w:customStyle="1" w:styleId="Border">
    <w:name w:val="Border"/>
    <w:basedOn w:val="Normal"/>
    <w:qFormat/>
    <w:rsid w:val="0035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CCF"/>
    <w:rPr>
      <w:b/>
      <w:bCs/>
      <w:i/>
      <w:iCs/>
      <w:color w:val="auto"/>
    </w:rPr>
  </w:style>
  <w:style w:type="paragraph" w:styleId="IntenseQuote">
    <w:name w:val="Intense Quote"/>
    <w:basedOn w:val="Normal"/>
    <w:next w:val="Normal"/>
    <w:link w:val="IntenseQuoteChar"/>
    <w:uiPriority w:val="30"/>
    <w:qFormat/>
    <w:rsid w:val="0035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CCF"/>
    <w:rPr>
      <w:smallCaps/>
      <w:color w:val="auto"/>
      <w:u w:val="single"/>
    </w:rPr>
  </w:style>
  <w:style w:type="character" w:styleId="IntenseReference">
    <w:name w:val="Intense Reference"/>
    <w:basedOn w:val="DefaultParagraphFont"/>
    <w:uiPriority w:val="32"/>
    <w:qFormat/>
    <w:rsid w:val="00355CCF"/>
    <w:rPr>
      <w:b/>
      <w:bCs/>
      <w:smallCaps/>
      <w:color w:val="auto"/>
      <w:spacing w:val="5"/>
      <w:u w:val="single"/>
    </w:rPr>
  </w:style>
  <w:style w:type="paragraph" w:customStyle="1" w:styleId="2ColumnHeading">
    <w:name w:val="2Column Heading"/>
    <w:basedOn w:val="BodyText"/>
    <w:qFormat/>
    <w:rsid w:val="00355CCF"/>
    <w:pPr>
      <w:spacing w:after="60"/>
      <w:ind w:left="-2268"/>
    </w:pPr>
    <w:rPr>
      <w:b/>
    </w:rPr>
  </w:style>
  <w:style w:type="paragraph" w:customStyle="1" w:styleId="Heading1TOC">
    <w:name w:val="Heading1 TOC"/>
    <w:basedOn w:val="Normal"/>
    <w:qFormat/>
    <w:rsid w:val="00355CCF"/>
    <w:pPr>
      <w:spacing w:before="240" w:after="120"/>
    </w:pPr>
    <w:rPr>
      <w:rFonts w:ascii="Times New Roman" w:hAnsi="Times New Roman"/>
      <w:b/>
      <w:sz w:val="32"/>
    </w:rPr>
  </w:style>
  <w:style w:type="paragraph" w:customStyle="1" w:styleId="Heading2TOC">
    <w:name w:val="Heading2 TOC"/>
    <w:basedOn w:val="Normal"/>
    <w:qFormat/>
    <w:rsid w:val="00355CCF"/>
    <w:pPr>
      <w:spacing w:before="240" w:after="60"/>
    </w:pPr>
    <w:rPr>
      <w:rFonts w:ascii="Times New Roman" w:hAnsi="Times New Roman"/>
      <w:b/>
      <w:sz w:val="28"/>
    </w:rPr>
  </w:style>
  <w:style w:type="character" w:customStyle="1" w:styleId="Underline">
    <w:name w:val="Underline"/>
    <w:basedOn w:val="DefaultParagraphFont"/>
    <w:qFormat/>
    <w:rsid w:val="00355CCF"/>
    <w:rPr>
      <w:u w:val="single"/>
    </w:rPr>
  </w:style>
  <w:style w:type="character" w:customStyle="1" w:styleId="BoldandItalics">
    <w:name w:val="Bold and Italics"/>
    <w:qFormat/>
    <w:rsid w:val="00355CCF"/>
    <w:rPr>
      <w:b/>
      <w:i/>
      <w:u w:val="none"/>
    </w:rPr>
  </w:style>
  <w:style w:type="paragraph" w:styleId="BalloonText">
    <w:name w:val="Balloon Text"/>
    <w:basedOn w:val="Normal"/>
    <w:link w:val="BalloonTextChar"/>
    <w:rsid w:val="00355CCF"/>
    <w:rPr>
      <w:rFonts w:ascii="Tahoma" w:hAnsi="Tahoma" w:cs="Tahoma"/>
      <w:sz w:val="16"/>
      <w:szCs w:val="16"/>
    </w:rPr>
  </w:style>
  <w:style w:type="character" w:customStyle="1" w:styleId="BalloonTextChar">
    <w:name w:val="Balloon Text Char"/>
    <w:basedOn w:val="DefaultParagraphFont"/>
    <w:link w:val="BalloonText"/>
    <w:rsid w:val="0035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CCF"/>
    <w:rPr>
      <w:b/>
      <w:color w:val="660033"/>
      <w:spacing w:val="0"/>
    </w:rPr>
  </w:style>
  <w:style w:type="paragraph" w:customStyle="1" w:styleId="Nameditemlist">
    <w:name w:val="Named item list"/>
    <w:basedOn w:val="BodyText"/>
    <w:qFormat/>
    <w:rsid w:val="00355CCF"/>
    <w:pPr>
      <w:tabs>
        <w:tab w:val="left" w:pos="2835"/>
      </w:tabs>
      <w:ind w:left="2835" w:hanging="2835"/>
    </w:pPr>
  </w:style>
  <w:style w:type="paragraph" w:customStyle="1" w:styleId="BodyTextnopadding">
    <w:name w:val="Body Text no padding"/>
    <w:basedOn w:val="BodyText"/>
    <w:qFormat/>
    <w:rsid w:val="00355CCF"/>
    <w:pPr>
      <w:spacing w:before="0" w:after="0"/>
    </w:pPr>
  </w:style>
  <w:style w:type="paragraph" w:customStyle="1" w:styleId="BodyTextBold">
    <w:name w:val="Body Text Bold"/>
    <w:basedOn w:val="BodyText"/>
    <w:qFormat/>
    <w:rsid w:val="00355CCF"/>
    <w:rPr>
      <w:b/>
    </w:rPr>
  </w:style>
  <w:style w:type="character" w:styleId="Hyperlink">
    <w:name w:val="Hyperlink"/>
    <w:basedOn w:val="DefaultParagraphFont"/>
    <w:uiPriority w:val="99"/>
    <w:unhideWhenUsed/>
    <w:rsid w:val="001A5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3932</Characters>
  <Application>Microsoft Office Word</Application>
  <DocSecurity>0</DocSecurity>
  <Lines>196</Lines>
  <Paragraphs>111</Paragraphs>
  <ScaleCrop>false</ScaleCrop>
  <Company>Author-it Software Corporation Ltd.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MSTML2009 Apply millinery sewing and adhesion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