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EE0" w:rsidP="009B3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MSTML2002 Make flat patterns for millinery</w:t>
      </w:r>
      <w:r>
        <w:fldChar w:fldCharType="end"/>
      </w:r>
    </w:p>
    <w:p w:rsidR="009B3EE0" w:rsidP="009B3EE0">
      <w:pPr>
        <w:pStyle w:val="Version"/>
        <w:sectPr w:rsidSect="00601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5B1" w:rsidP="006015B1">
      <w:pPr>
        <w:pStyle w:val="SuperHeading"/>
      </w:pPr>
      <w:r w:rsidRPr="006015B1">
        <w:t>MSTML2002 Make flat patterns for millinery</w:t>
      </w:r>
    </w:p>
    <w:p w:rsidR="00000000" w:rsidRPr="006015B1" w:rsidP="006015B1">
      <w:pPr>
        <w:pStyle w:val="Heading1"/>
      </w:pPr>
      <w:bookmarkStart w:id="1" w:name="O_933814"/>
      <w:bookmarkEnd w:id="1"/>
      <w:r w:rsidRPr="006015B1">
        <w:t>Modification History</w:t>
      </w:r>
    </w:p>
    <w:p w:rsidR="00000000" w:rsidRPr="006015B1" w:rsidP="009B3EE0">
      <w:pPr>
        <w:pStyle w:val="BodyText"/>
      </w:pPr>
      <w:r w:rsidRPr="006015B1">
        <w:t>Release 1. Supersedes and is equivalent to LMTML2002A Make flat patterns for millinery</w:t>
      </w:r>
    </w:p>
    <w:p w:rsidR="00000000" w:rsidRPr="006015B1" w:rsidP="006015B1">
      <w:pPr>
        <w:pStyle w:val="Heading1"/>
      </w:pPr>
      <w:bookmarkStart w:id="2" w:name="O_933822"/>
      <w:bookmarkEnd w:id="2"/>
      <w:r w:rsidRPr="006015B1">
        <w:t>Application</w:t>
      </w:r>
    </w:p>
    <w:p w:rsidR="00000000" w:rsidRPr="006015B1" w:rsidP="009B3EE0">
      <w:pPr>
        <w:pStyle w:val="BodyText"/>
      </w:pPr>
      <w:r w:rsidRPr="006015B1">
        <w:t>This unit of competency covers the skills and knowledge required to construct flat patterns for millinery using measure</w:t>
      </w:r>
      <w:r w:rsidRPr="006015B1">
        <w:t>ments, mathematical calculations and geometry.</w:t>
      </w:r>
    </w:p>
    <w:p w:rsidR="00000000" w:rsidRPr="006015B1" w:rsidP="009B3EE0">
      <w:pPr>
        <w:pStyle w:val="BodyText"/>
      </w:pPr>
      <w:r w:rsidRPr="006015B1">
        <w:t>The unit of competency applies to the construction of flat patterns onto paper or cardboard based on taken and calculated measurements.</w:t>
      </w:r>
    </w:p>
    <w:p w:rsidR="00000000" w:rsidRPr="006015B1" w:rsidP="009B3EE0">
      <w:pPr>
        <w:pStyle w:val="BodyText"/>
      </w:pPr>
      <w:r w:rsidRPr="006015B1">
        <w:t>Work may be conducted in small to large scale enterprises and may invol</w:t>
      </w:r>
      <w:r w:rsidRPr="006015B1">
        <w:t>ve individual and team activities.</w:t>
      </w:r>
    </w:p>
    <w:p w:rsidR="00000000" w:rsidRPr="006015B1" w:rsidP="009B3EE0">
      <w:pPr>
        <w:pStyle w:val="BodyText"/>
      </w:pPr>
      <w:r w:rsidRPr="006015B1">
        <w:t>No licensing, legislative or certification requirements apply to this unit at the time of publication.</w:t>
      </w:r>
    </w:p>
    <w:p w:rsidR="00000000" w:rsidRPr="006015B1" w:rsidP="006015B1">
      <w:pPr>
        <w:pStyle w:val="Heading1"/>
      </w:pPr>
      <w:bookmarkStart w:id="3" w:name="O_933821"/>
      <w:bookmarkEnd w:id="3"/>
      <w:r w:rsidRPr="006015B1">
        <w:t>Pre-requisite Unit</w:t>
      </w:r>
    </w:p>
    <w:p w:rsidR="00000000" w:rsidRPr="006015B1" w:rsidP="009B3EE0">
      <w:pPr>
        <w:pStyle w:val="BodyText"/>
      </w:pPr>
      <w:r w:rsidRPr="006015B1">
        <w:t>Nil</w:t>
      </w:r>
    </w:p>
    <w:p w:rsidR="00000000" w:rsidRPr="006015B1" w:rsidP="006015B1">
      <w:pPr>
        <w:pStyle w:val="Heading1"/>
      </w:pPr>
      <w:bookmarkStart w:id="4" w:name="O_933820"/>
      <w:bookmarkEnd w:id="4"/>
      <w:r w:rsidRPr="006015B1">
        <w:t>Competency Field</w:t>
      </w:r>
    </w:p>
    <w:p w:rsidR="00000000" w:rsidRPr="006015B1" w:rsidP="009B3EE0">
      <w:pPr>
        <w:pStyle w:val="BodyText"/>
      </w:pPr>
      <w:r w:rsidRPr="006015B1">
        <w:t>Millinery</w:t>
      </w:r>
    </w:p>
    <w:p w:rsidR="00000000" w:rsidRPr="006015B1" w:rsidP="006015B1">
      <w:pPr>
        <w:pStyle w:val="Heading1"/>
      </w:pPr>
      <w:bookmarkStart w:id="5" w:name="O_933819"/>
      <w:bookmarkEnd w:id="5"/>
      <w:r w:rsidRPr="006015B1">
        <w:t>Unit Sector</w:t>
      </w:r>
    </w:p>
    <w:p w:rsidR="00000000" w:rsidRPr="006015B1" w:rsidP="009B3EE0">
      <w:pPr>
        <w:pStyle w:val="BodyText"/>
      </w:pPr>
      <w:r w:rsidRPr="006015B1">
        <w:t xml:space="preserve">Not </w:t>
      </w:r>
      <w:r w:rsidRPr="006015B1">
        <w:t>applicable</w:t>
      </w:r>
    </w:p>
    <w:p w:rsidR="00000000" w:rsidRPr="006015B1" w:rsidP="006015B1">
      <w:pPr>
        <w:pStyle w:val="Heading1"/>
      </w:pPr>
      <w:bookmarkStart w:id="6" w:name="O_933818"/>
      <w:bookmarkEnd w:id="6"/>
      <w:r w:rsidRPr="006015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Performance criteria describe the performance needed to demonstrate achievement of the element.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B1" w:rsidP="006015B1">
            <w:pPr>
              <w:pStyle w:val="BodyText"/>
            </w:pPr>
            <w:r w:rsidRPr="006015B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B1" w:rsidP="006015B1">
            <w:pPr>
              <w:pStyle w:val="BodyText"/>
            </w:pPr>
            <w:r w:rsidRPr="006015B1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Follow standard operating procedures (SOPs)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Comply with work health and safety (WHS) requirements at all times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Use appropriate personal protective equipment (PPE) in accordance with SOPs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Identify job requirements from specifications, drawings, job sheets or work instructions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B1" w:rsidP="006015B1">
            <w:pPr>
              <w:pStyle w:val="BodyText"/>
            </w:pPr>
            <w:r w:rsidRPr="006015B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rPr>
                <w:rStyle w:val="SpecialBold"/>
              </w:rPr>
              <w:t>Prepare to make millinery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Identify pattern pieces and the measurements required for pattern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Select model to suit design specifications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Take measurements, make calculated measurements, document and check for accuracy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 xml:space="preserve">Select manual or electronic construction method to suit pattern 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Select and prepare patternmaking tools and equipment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B1" w:rsidP="006015B1">
            <w:pPr>
              <w:pStyle w:val="BodyText"/>
            </w:pPr>
            <w:r w:rsidRPr="006015B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rPr>
                <w:rStyle w:val="SpecialBold"/>
              </w:rPr>
              <w:t>Construct millinery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Construct patterns using millinery flat pattern construction principles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 xml:space="preserve">Apply measurements and calculations to construct pattern 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Check pattern pieces for accuracy, including seam allowances, ease allowance, proportion and seam match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Make a test toile to check that design requirements are met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Modify or alter patterns according to results from the test toile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B1" w:rsidP="006015B1">
            <w:pPr>
              <w:pStyle w:val="BodyText"/>
            </w:pPr>
            <w:r w:rsidRPr="006015B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rPr>
                <w:rStyle w:val="SpecialBold"/>
              </w:rPr>
              <w:t>Finalise millinery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Label pattern pieces, including grain lines, notches, pattern information and cutting instructions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Complete pattern specification sheet according to workplace requirements and procedures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File final patterns or pass on to the next operation</w:t>
            </w:r>
          </w:p>
        </w:tc>
      </w:tr>
      <w:tr w:rsidTr="00601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B1" w:rsidP="006015B1">
            <w:pPr>
              <w:pStyle w:val="BodyText"/>
            </w:pPr>
            <w:r w:rsidRPr="006015B1">
              <w:t>Complete all required documentation</w:t>
            </w:r>
          </w:p>
        </w:tc>
      </w:tr>
    </w:tbl>
    <w:p w:rsidR="00000000" w:rsidRPr="006015B1" w:rsidP="006015B1">
      <w:pPr>
        <w:pStyle w:val="BodyText"/>
      </w:pPr>
    </w:p>
    <w:p w:rsidR="00000000" w:rsidRPr="006015B1" w:rsidP="006015B1">
      <w:pPr>
        <w:pStyle w:val="AllowPageBreak"/>
      </w:pPr>
    </w:p>
    <w:p w:rsidR="00000000" w:rsidRPr="006015B1" w:rsidP="006015B1">
      <w:pPr>
        <w:pStyle w:val="Heading1"/>
      </w:pPr>
      <w:bookmarkStart w:id="7" w:name="O_933817"/>
      <w:bookmarkEnd w:id="7"/>
      <w:r w:rsidRPr="006015B1">
        <w:t>Foundation Skills</w:t>
      </w:r>
    </w:p>
    <w:p w:rsidR="00000000" w:rsidRPr="006015B1" w:rsidP="009B3EE0">
      <w:pPr>
        <w:pStyle w:val="BodyText"/>
      </w:pPr>
      <w:r w:rsidRPr="006015B1">
        <w:t>This section describes those required skills (language, literacy and numeracy) that are essential to performance.</w:t>
      </w:r>
    </w:p>
    <w:p w:rsidR="00000000" w:rsidRPr="006015B1" w:rsidP="009B3EE0">
      <w:pPr>
        <w:pStyle w:val="BodyText"/>
      </w:pPr>
      <w:r w:rsidRPr="006015B1">
        <w:t>Foundation skills essential to performance are explicit in</w:t>
      </w:r>
      <w:r w:rsidRPr="006015B1">
        <w:t xml:space="preserve"> the performance criteria of this unit of competency.</w:t>
      </w:r>
    </w:p>
    <w:p w:rsidR="00000000" w:rsidRPr="006015B1" w:rsidP="006015B1">
      <w:pPr>
        <w:pStyle w:val="Heading1"/>
      </w:pPr>
      <w:bookmarkStart w:id="8" w:name="O_933816"/>
      <w:bookmarkEnd w:id="8"/>
      <w:r w:rsidRPr="006015B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B3E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t>This field allows for different work environments and conditions that may affect performance. Essential operating conditions that may be present (depending on the wo</w:t>
            </w:r>
            <w:r w:rsidRPr="006015B1">
              <w:t>rk situation, needs of the candidate, accessibility of the item, and local industry and regional contexts) are included.</w:t>
            </w:r>
          </w:p>
        </w:tc>
      </w:tr>
      <w:tr w:rsidTr="009B3E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B1" w:rsidP="006015B1">
            <w:pPr>
              <w:pStyle w:val="ListBullet"/>
            </w:pPr>
            <w:r w:rsidRPr="006015B1">
              <w:t>requirements prescribed by legislation, awards, agreements and conditions</w:t>
            </w:r>
            <w:r w:rsidRPr="006015B1">
              <w:t xml:space="preserve"> of employment</w:t>
            </w:r>
          </w:p>
          <w:p w:rsidR="00000000" w:rsidRPr="006015B1" w:rsidP="006015B1">
            <w:pPr>
              <w:pStyle w:val="ListBullet"/>
            </w:pPr>
            <w:r w:rsidRPr="006015B1">
              <w:t>SOPs</w:t>
            </w:r>
          </w:p>
          <w:p w:rsidR="00000000" w:rsidRPr="006015B1" w:rsidP="006015B1">
            <w:pPr>
              <w:pStyle w:val="ListBullet"/>
            </w:pPr>
            <w:r w:rsidRPr="006015B1">
              <w:t>work instructions</w:t>
            </w:r>
          </w:p>
          <w:p w:rsidR="00000000" w:rsidRPr="006015B1" w:rsidP="006015B1">
            <w:pPr>
              <w:pStyle w:val="ListBullet"/>
            </w:pPr>
            <w:r w:rsidRPr="006015B1">
              <w:t>PPE</w:t>
            </w:r>
          </w:p>
          <w:p w:rsidR="00000000" w:rsidRPr="006015B1" w:rsidP="006015B1">
            <w:pPr>
              <w:pStyle w:val="ListBullet"/>
            </w:pPr>
            <w:r w:rsidRPr="006015B1">
              <w:t>oral, written and visual communication</w:t>
            </w:r>
          </w:p>
          <w:p w:rsidR="00000000" w:rsidRPr="006015B1" w:rsidP="006015B1">
            <w:pPr>
              <w:pStyle w:val="ListBullet"/>
            </w:pPr>
            <w:r w:rsidRPr="006015B1">
              <w:t>quality practices, including responsibility for maintenance of own work quality and contribution to quality improvement of team or section output</w:t>
            </w:r>
          </w:p>
          <w:p w:rsidR="00000000" w:rsidRPr="006015B1" w:rsidP="006015B1">
            <w:pPr>
              <w:pStyle w:val="ListBullet"/>
            </w:pPr>
            <w:r w:rsidRPr="006015B1">
              <w:t>housekeeping</w:t>
            </w:r>
          </w:p>
          <w:p w:rsidR="00000000" w:rsidRPr="006015B1" w:rsidP="006015B1">
            <w:pPr>
              <w:pStyle w:val="ListBullet"/>
            </w:pPr>
            <w:r w:rsidRPr="006015B1">
              <w:t>tasks related to environmental protection, waste disposal, pollution control and recycling</w:t>
            </w:r>
          </w:p>
          <w:p w:rsidR="00000000" w:rsidRPr="006015B1" w:rsidP="006015B1">
            <w:pPr>
              <w:pStyle w:val="ListBullet"/>
            </w:pPr>
            <w:r w:rsidRPr="006015B1">
              <w:t>WHS practices</w:t>
            </w:r>
          </w:p>
          <w:p w:rsidR="00000000" w:rsidP="006015B1">
            <w:pPr>
              <w:pStyle w:val="BodyText"/>
              <w:rPr>
                <w:lang w:val="en-NZ"/>
              </w:rPr>
            </w:pPr>
          </w:p>
        </w:tc>
      </w:tr>
      <w:tr w:rsidTr="009B3E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rPr>
                <w:rStyle w:val="SpecialBold"/>
              </w:rPr>
              <w:t>Taken measurements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B1" w:rsidP="006015B1">
            <w:pPr>
              <w:pStyle w:val="ListBullet"/>
            </w:pPr>
            <w:r w:rsidRPr="006015B1">
              <w:t>head size</w:t>
            </w:r>
          </w:p>
          <w:p w:rsidR="00000000" w:rsidRPr="006015B1" w:rsidP="006015B1">
            <w:pPr>
              <w:pStyle w:val="ListBullet"/>
            </w:pPr>
            <w:r w:rsidRPr="006015B1">
              <w:t>ear-to-ear measurements</w:t>
            </w:r>
          </w:p>
          <w:p w:rsidR="00000000" w:rsidRPr="006015B1" w:rsidP="006015B1">
            <w:pPr>
              <w:pStyle w:val="ListBullet"/>
            </w:pPr>
            <w:r w:rsidRPr="006015B1">
              <w:t>front-to-back measurements</w:t>
            </w:r>
          </w:p>
          <w:p w:rsidR="00000000" w:rsidRPr="006015B1" w:rsidP="006015B1">
            <w:pPr>
              <w:pStyle w:val="ListBullet"/>
            </w:pPr>
            <w:r w:rsidRPr="006015B1">
              <w:t>linear</w:t>
            </w:r>
          </w:p>
          <w:p w:rsidR="00000000" w:rsidRPr="006015B1" w:rsidP="006015B1">
            <w:pPr>
              <w:pStyle w:val="ListBullet"/>
            </w:pPr>
            <w:r w:rsidRPr="006015B1">
              <w:t>circular</w:t>
            </w:r>
          </w:p>
          <w:p w:rsidR="00000000" w:rsidP="006015B1">
            <w:pPr>
              <w:pStyle w:val="BodyText"/>
              <w:rPr>
                <w:lang w:val="en-NZ"/>
              </w:rPr>
            </w:pPr>
          </w:p>
        </w:tc>
      </w:tr>
      <w:tr w:rsidTr="009B3E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rPr>
                <w:rStyle w:val="SpecialBold"/>
              </w:rPr>
              <w:t>Calculated measurements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B1" w:rsidP="006015B1">
            <w:pPr>
              <w:pStyle w:val="ListBullet"/>
            </w:pPr>
            <w:r w:rsidRPr="006015B1">
              <w:t>radius</w:t>
            </w:r>
          </w:p>
          <w:p w:rsidR="00000000" w:rsidRPr="006015B1" w:rsidP="006015B1">
            <w:pPr>
              <w:pStyle w:val="ListBullet"/>
            </w:pPr>
            <w:r w:rsidRPr="006015B1">
              <w:t>circumference</w:t>
            </w:r>
          </w:p>
          <w:p w:rsidR="00000000" w:rsidRPr="006015B1" w:rsidP="006015B1">
            <w:pPr>
              <w:pStyle w:val="ListBullet"/>
            </w:pPr>
            <w:r w:rsidRPr="006015B1">
              <w:t>diameter</w:t>
            </w:r>
          </w:p>
          <w:p w:rsidR="00000000" w:rsidRPr="006015B1" w:rsidP="006015B1">
            <w:pPr>
              <w:pStyle w:val="ListBullet"/>
            </w:pPr>
            <w:r w:rsidRPr="006015B1">
              <w:t>ratios</w:t>
            </w:r>
          </w:p>
          <w:p w:rsidR="00000000" w:rsidRPr="006015B1" w:rsidP="006015B1">
            <w:pPr>
              <w:pStyle w:val="ListBullet"/>
            </w:pPr>
            <w:r w:rsidRPr="006015B1">
              <w:t>division</w:t>
            </w:r>
          </w:p>
          <w:p w:rsidR="00000000" w:rsidRPr="006015B1" w:rsidP="006015B1">
            <w:pPr>
              <w:pStyle w:val="ListBullet"/>
            </w:pPr>
            <w:r w:rsidRPr="006015B1">
              <w:t>percentages and fractions</w:t>
            </w:r>
          </w:p>
          <w:p w:rsidR="00000000" w:rsidP="006015B1">
            <w:pPr>
              <w:pStyle w:val="BodyText"/>
              <w:rPr>
                <w:lang w:val="en-NZ"/>
              </w:rPr>
            </w:pPr>
          </w:p>
        </w:tc>
      </w:tr>
      <w:tr w:rsidTr="009B3E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B1">
            <w:pPr>
              <w:pStyle w:val="BodyText"/>
              <w:rPr>
                <w:lang w:val="en-NZ"/>
              </w:rPr>
            </w:pPr>
            <w:r w:rsidRPr="006015B1">
              <w:rPr>
                <w:rStyle w:val="SpecialBold"/>
              </w:rPr>
              <w:t>Electronic methods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B1" w:rsidP="006015B1">
            <w:pPr>
              <w:pStyle w:val="ListBullet"/>
            </w:pPr>
            <w:r w:rsidRPr="006015B1">
              <w:t>use of computer-aided design (CAD) programs</w:t>
            </w:r>
          </w:p>
          <w:p w:rsidR="00000000" w:rsidRPr="006015B1" w:rsidP="006015B1">
            <w:pPr>
              <w:pStyle w:val="ListBullet"/>
            </w:pPr>
            <w:r w:rsidRPr="006015B1">
              <w:t>electronic equipment</w:t>
            </w:r>
          </w:p>
        </w:tc>
      </w:tr>
    </w:tbl>
    <w:p w:rsidR="00000000" w:rsidRPr="006015B1" w:rsidP="006015B1">
      <w:pPr>
        <w:pStyle w:val="BodyText"/>
      </w:pPr>
    </w:p>
    <w:p w:rsidR="00000000" w:rsidRPr="006015B1" w:rsidP="006015B1">
      <w:pPr>
        <w:pStyle w:val="AllowPageBreak"/>
      </w:pPr>
    </w:p>
    <w:p w:rsidR="00000000" w:rsidRPr="006015B1" w:rsidP="006015B1">
      <w:pPr>
        <w:pStyle w:val="Heading1"/>
      </w:pPr>
      <w:bookmarkStart w:id="9" w:name="O_933815"/>
      <w:bookmarkEnd w:id="9"/>
      <w:r w:rsidRPr="006015B1">
        <w:t>Unit Mapping Information</w:t>
      </w:r>
    </w:p>
    <w:p w:rsidR="00000000" w:rsidRPr="006015B1" w:rsidP="009B3EE0">
      <w:pPr>
        <w:pStyle w:val="BodyText"/>
      </w:pPr>
      <w:r w:rsidRPr="006015B1">
        <w:t>Release 1. Supersedes and is equivalent to LMTML2002A Make flat patterns for millinery</w:t>
      </w:r>
    </w:p>
    <w:p w:rsidR="00000000" w:rsidRPr="006015B1" w:rsidP="006015B1">
      <w:pPr>
        <w:pStyle w:val="Heading1"/>
      </w:pPr>
      <w:bookmarkStart w:id="10" w:name="O_933808"/>
      <w:bookmarkEnd w:id="10"/>
      <w:r w:rsidRPr="006015B1">
        <w:t>Links</w:t>
      </w:r>
    </w:p>
    <w:p w:rsidR="00000000" w:rsidRPr="006015B1" w:rsidP="009B3EE0">
      <w:pPr>
        <w:pStyle w:val="BodyText"/>
      </w:pPr>
      <w:r w:rsidRPr="006015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7545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015B1" w:rsidP="006015B1"/>
    <w:sectPr w:rsidSect="006015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1" w:rsidRPr="009B3EE0" w:rsidP="009B3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E0" w:rsidP="00601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EE0" w:rsidP="00601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3EE0" w:rsidP="006015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5B1" w:rsidRPr="009B3EE0" w:rsidP="009B3E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E0" w:rsidRPr="002D2AF8" w:rsidP="00601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MSTML2002 Make flat patterns for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B3EE0" w:rsidP="006015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481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8AE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5B1"/>
  </w:style>
  <w:style w:type="character" w:customStyle="1" w:styleId="Heading1Char">
    <w:name w:val="Heading 1 Char"/>
    <w:basedOn w:val="DefaultParagraphFont"/>
    <w:link w:val="Heading1"/>
    <w:rsid w:val="00601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5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5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5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5B1"/>
    <w:rPr>
      <w:b/>
      <w:spacing w:val="0"/>
    </w:rPr>
  </w:style>
  <w:style w:type="paragraph" w:customStyle="1" w:styleId="SuperHeading">
    <w:name w:val="SuperHeading"/>
    <w:basedOn w:val="Normal"/>
    <w:rsid w:val="006015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5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5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5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5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5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5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5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5B1"/>
    <w:rPr>
      <w:i/>
    </w:rPr>
  </w:style>
  <w:style w:type="paragraph" w:styleId="Caption">
    <w:name w:val="caption"/>
    <w:basedOn w:val="BodyText"/>
    <w:next w:val="Normal"/>
    <w:qFormat/>
    <w:rsid w:val="00601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5B1"/>
  </w:style>
  <w:style w:type="paragraph" w:styleId="TableofFigures">
    <w:name w:val="table of figures"/>
    <w:basedOn w:val="Normal"/>
    <w:next w:val="Normal"/>
    <w:semiHidden/>
    <w:rsid w:val="00601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5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15B1"/>
    <w:rPr>
      <w:rFonts w:ascii="Wingdings" w:hAnsi="Wingdings"/>
    </w:rPr>
  </w:style>
  <w:style w:type="paragraph" w:customStyle="1" w:styleId="TableHeading">
    <w:name w:val="Table Heading"/>
    <w:basedOn w:val="HeadingBase"/>
    <w:rsid w:val="00601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5B1"/>
    <w:rPr>
      <w:color w:val="0033CC"/>
      <w:u w:val="none"/>
    </w:rPr>
  </w:style>
  <w:style w:type="paragraph" w:customStyle="1" w:styleId="BodyTextRight">
    <w:name w:val="Body Text Right"/>
    <w:basedOn w:val="BodyText"/>
    <w:rsid w:val="006015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5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5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5B1"/>
    <w:rPr>
      <w:sz w:val="32"/>
    </w:rPr>
  </w:style>
  <w:style w:type="paragraph" w:customStyle="1" w:styleId="HeadingProcedure">
    <w:name w:val="Heading Procedure"/>
    <w:basedOn w:val="HeadingBase"/>
    <w:next w:val="Normal"/>
    <w:rsid w:val="00601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5B1"/>
    <w:pPr>
      <w:spacing w:before="60" w:after="60"/>
    </w:pPr>
  </w:style>
  <w:style w:type="paragraph" w:styleId="ListContinue">
    <w:name w:val="List Continue"/>
    <w:basedOn w:val="List"/>
    <w:rsid w:val="006015B1"/>
    <w:pPr>
      <w:ind w:firstLine="0"/>
    </w:pPr>
  </w:style>
  <w:style w:type="paragraph" w:customStyle="1" w:styleId="ListNote">
    <w:name w:val="List Note"/>
    <w:basedOn w:val="List"/>
    <w:rsid w:val="00601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5B1"/>
    <w:rPr>
      <w:rFonts w:ascii="Courier New" w:hAnsi="Courier New"/>
    </w:rPr>
  </w:style>
  <w:style w:type="paragraph" w:customStyle="1" w:styleId="NoteBullet">
    <w:name w:val="Note Bullet"/>
    <w:basedOn w:val="Note"/>
    <w:rsid w:val="00601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5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1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5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5B1"/>
    <w:rPr>
      <w:b/>
      <w:smallCaps/>
    </w:rPr>
  </w:style>
  <w:style w:type="paragraph" w:customStyle="1" w:styleId="TableListNumber">
    <w:name w:val="Table List Number"/>
    <w:basedOn w:val="ListNumber"/>
    <w:rsid w:val="00601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5B1"/>
    <w:pPr>
      <w:numPr>
        <w:numId w:val="8"/>
      </w:numPr>
    </w:pPr>
  </w:style>
  <w:style w:type="paragraph" w:customStyle="1" w:styleId="ListAlpha2">
    <w:name w:val="List Alpha 2"/>
    <w:basedOn w:val="List2"/>
    <w:rsid w:val="006015B1"/>
    <w:pPr>
      <w:numPr>
        <w:numId w:val="7"/>
      </w:numPr>
    </w:pPr>
  </w:style>
  <w:style w:type="paragraph" w:styleId="List2">
    <w:name w:val="List 2"/>
    <w:basedOn w:val="BodyText"/>
    <w:rsid w:val="006015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5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5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5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15B1"/>
    <w:pPr>
      <w:numPr>
        <w:numId w:val="3"/>
      </w:numPr>
    </w:pPr>
  </w:style>
  <w:style w:type="paragraph" w:styleId="ListContinue2">
    <w:name w:val="List Continue 2"/>
    <w:basedOn w:val="List2"/>
    <w:rsid w:val="006015B1"/>
    <w:pPr>
      <w:ind w:firstLine="0"/>
    </w:pPr>
  </w:style>
  <w:style w:type="paragraph" w:styleId="ListContinue3">
    <w:name w:val="List Continue 3"/>
    <w:basedOn w:val="List3"/>
    <w:rsid w:val="006015B1"/>
    <w:pPr>
      <w:ind w:left="1021" w:firstLine="0"/>
    </w:pPr>
  </w:style>
  <w:style w:type="paragraph" w:styleId="ListContinue4">
    <w:name w:val="List Continue 4"/>
    <w:basedOn w:val="List4"/>
    <w:rsid w:val="006015B1"/>
    <w:pPr>
      <w:ind w:firstLine="0"/>
    </w:pPr>
  </w:style>
  <w:style w:type="paragraph" w:styleId="ListContinue5">
    <w:name w:val="List Continue 5"/>
    <w:basedOn w:val="List5"/>
    <w:rsid w:val="006015B1"/>
    <w:pPr>
      <w:ind w:firstLine="0"/>
    </w:pPr>
  </w:style>
  <w:style w:type="paragraph" w:styleId="ListNumber3">
    <w:name w:val="List Number 3"/>
    <w:basedOn w:val="List3"/>
    <w:rsid w:val="006015B1"/>
    <w:pPr>
      <w:numPr>
        <w:numId w:val="4"/>
      </w:numPr>
    </w:pPr>
  </w:style>
  <w:style w:type="paragraph" w:styleId="ListNumber4">
    <w:name w:val="List Number 4"/>
    <w:basedOn w:val="List4"/>
    <w:rsid w:val="006015B1"/>
    <w:pPr>
      <w:numPr>
        <w:numId w:val="5"/>
      </w:numPr>
    </w:pPr>
  </w:style>
  <w:style w:type="paragraph" w:styleId="ListNumber5">
    <w:name w:val="List Number 5"/>
    <w:basedOn w:val="List5"/>
    <w:rsid w:val="006015B1"/>
    <w:pPr>
      <w:numPr>
        <w:numId w:val="6"/>
      </w:numPr>
    </w:pPr>
  </w:style>
  <w:style w:type="paragraph" w:styleId="BlockText">
    <w:name w:val="Block Text"/>
    <w:basedOn w:val="Normal"/>
    <w:rsid w:val="00601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5B1"/>
    <w:rPr>
      <w:sz w:val="16"/>
      <w:vertAlign w:val="superscript"/>
    </w:rPr>
  </w:style>
  <w:style w:type="character" w:customStyle="1" w:styleId="Symbols">
    <w:name w:val="Symbols"/>
    <w:basedOn w:val="DefaultParagraphFont"/>
    <w:rsid w:val="006015B1"/>
    <w:rPr>
      <w:rFonts w:ascii="Symbol" w:hAnsi="Symbol"/>
    </w:rPr>
  </w:style>
  <w:style w:type="character" w:customStyle="1" w:styleId="MenuOptions">
    <w:name w:val="Menu Options"/>
    <w:basedOn w:val="DefaultParagraphFont"/>
    <w:rsid w:val="00601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5B1"/>
    <w:rPr>
      <w:b/>
    </w:rPr>
  </w:style>
  <w:style w:type="character" w:customStyle="1" w:styleId="Underlined">
    <w:name w:val="Underlined"/>
    <w:basedOn w:val="DefaultParagraphFont"/>
    <w:rsid w:val="006015B1"/>
    <w:rPr>
      <w:u w:val="single"/>
    </w:rPr>
  </w:style>
  <w:style w:type="paragraph" w:customStyle="1" w:styleId="TableBodyTextRight">
    <w:name w:val="Table Body Text Right"/>
    <w:basedOn w:val="TableBodyText"/>
    <w:rsid w:val="00601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5B1"/>
    <w:rPr>
      <w:sz w:val="18"/>
    </w:rPr>
  </w:style>
  <w:style w:type="paragraph" w:customStyle="1" w:styleId="BodySmallRight">
    <w:name w:val="Body Small Right"/>
    <w:basedOn w:val="BodyTextRight"/>
    <w:rsid w:val="006015B1"/>
    <w:rPr>
      <w:sz w:val="18"/>
      <w:szCs w:val="18"/>
    </w:rPr>
  </w:style>
  <w:style w:type="paragraph" w:customStyle="1" w:styleId="MarginEdition">
    <w:name w:val="Margin Edition"/>
    <w:basedOn w:val="MarginNote"/>
    <w:rsid w:val="00601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5B1"/>
    <w:rPr>
      <w:sz w:val="2"/>
      <w:szCs w:val="2"/>
    </w:rPr>
  </w:style>
  <w:style w:type="character" w:customStyle="1" w:styleId="Small">
    <w:name w:val="Small"/>
    <w:basedOn w:val="DefaultParagraphFont"/>
    <w:rsid w:val="006015B1"/>
    <w:rPr>
      <w:sz w:val="16"/>
    </w:rPr>
  </w:style>
  <w:style w:type="paragraph" w:customStyle="1" w:styleId="WideTable">
    <w:name w:val="Wide Table"/>
    <w:basedOn w:val="Normal"/>
    <w:rsid w:val="00601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5B1"/>
  </w:style>
  <w:style w:type="paragraph" w:styleId="Quote">
    <w:name w:val="Quote"/>
    <w:basedOn w:val="Heading1"/>
    <w:link w:val="QuoteChar"/>
    <w:qFormat/>
    <w:rsid w:val="00601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5B1"/>
    <w:pPr>
      <w:pageBreakBefore/>
    </w:pPr>
  </w:style>
  <w:style w:type="paragraph" w:customStyle="1" w:styleId="Border">
    <w:name w:val="Border"/>
    <w:basedOn w:val="Normal"/>
    <w:qFormat/>
    <w:rsid w:val="00601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5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5B1"/>
    <w:rPr>
      <w:u w:val="single"/>
    </w:rPr>
  </w:style>
  <w:style w:type="character" w:customStyle="1" w:styleId="BoldandItalics">
    <w:name w:val="Bold and Italics"/>
    <w:qFormat/>
    <w:rsid w:val="006015B1"/>
    <w:rPr>
      <w:b/>
      <w:i/>
      <w:u w:val="none"/>
    </w:rPr>
  </w:style>
  <w:style w:type="paragraph" w:styleId="BalloonText">
    <w:name w:val="Balloon Text"/>
    <w:basedOn w:val="Normal"/>
    <w:link w:val="BalloonTextChar"/>
    <w:rsid w:val="00601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5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5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5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5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5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5B1"/>
    <w:pPr>
      <w:spacing w:before="0" w:after="0"/>
    </w:pPr>
  </w:style>
  <w:style w:type="paragraph" w:customStyle="1" w:styleId="BodyTextBold">
    <w:name w:val="Body Text Bold"/>
    <w:basedOn w:val="BodyText"/>
    <w:qFormat/>
    <w:rsid w:val="006015B1"/>
    <w:rPr>
      <w:b/>
    </w:rPr>
  </w:style>
  <w:style w:type="character" w:styleId="Hyperlink">
    <w:name w:val="Hyperlink"/>
    <w:basedOn w:val="DefaultParagraphFont"/>
    <w:uiPriority w:val="99"/>
    <w:unhideWhenUsed/>
    <w:rsid w:val="009B3E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3719</Characters>
  <Application>Microsoft Office Word</Application>
  <DocSecurity>0</DocSecurity>
  <Lines>206</Lines>
  <Paragraphs>116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MSTML2002 Make flat patterns for millinery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