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687" w:rsidP="00FE46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MSTMF4011 Produce corrective orthoses</w:t>
      </w:r>
      <w:r>
        <w:fldChar w:fldCharType="end"/>
      </w:r>
    </w:p>
    <w:p w:rsidR="00FE4687" w:rsidP="00FE4687">
      <w:pPr>
        <w:pStyle w:val="Version"/>
        <w:sectPr w:rsidSect="00C22F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FB4" w:rsidP="00C22FB4">
      <w:pPr>
        <w:pStyle w:val="SuperHeading"/>
      </w:pPr>
      <w:r w:rsidRPr="00C22FB4">
        <w:t>Assessment Requirements for MSTMF4011 Produce corrective orthoses</w:t>
      </w:r>
    </w:p>
    <w:p w:rsidR="00000000" w:rsidRPr="00C22FB4" w:rsidP="00C22FB4">
      <w:pPr>
        <w:pStyle w:val="Heading1"/>
      </w:pPr>
      <w:bookmarkStart w:id="1" w:name="O_1037201"/>
      <w:bookmarkEnd w:id="1"/>
      <w:r w:rsidRPr="00C22FB4">
        <w:t>Modification History</w:t>
      </w:r>
    </w:p>
    <w:p w:rsidR="00000000" w:rsidRPr="00C22FB4" w:rsidP="00FE4687">
      <w:pPr>
        <w:pStyle w:val="BodyText"/>
      </w:pPr>
      <w:r w:rsidRPr="00C22FB4">
        <w:t>Release 1. Supersedes and is equivalent to LMTMF6007A Produce corrective orthoses</w:t>
      </w:r>
    </w:p>
    <w:p w:rsidR="00000000" w:rsidRPr="00C22FB4" w:rsidP="00C22FB4">
      <w:pPr>
        <w:pStyle w:val="Heading1"/>
      </w:pPr>
      <w:bookmarkStart w:id="2" w:name="O_1037202"/>
      <w:bookmarkEnd w:id="2"/>
      <w:r w:rsidRPr="00C22FB4">
        <w:t>Performance Evidence</w:t>
      </w:r>
    </w:p>
    <w:p w:rsidR="00000000" w:rsidRPr="00C22FB4" w:rsidP="00FE4687">
      <w:pPr>
        <w:pStyle w:val="BodyText"/>
      </w:pPr>
      <w:r w:rsidRPr="00C22FB4">
        <w:t>There must be evidence the candidate has completed the tasks outlined in the elements and performance criteria of this unit, and:</w:t>
      </w:r>
    </w:p>
    <w:p w:rsidR="00000000" w:rsidRPr="00C22FB4" w:rsidP="00C22FB4">
      <w:pPr>
        <w:pStyle w:val="ListBullet"/>
      </w:pPr>
      <w:r w:rsidRPr="00C22FB4">
        <w:t>produced two corrective orthoses for different clients with different needs.</w:t>
      </w:r>
    </w:p>
    <w:p w:rsidR="00000000" w:rsidRPr="00C22FB4" w:rsidP="00C22FB4">
      <w:pPr>
        <w:pStyle w:val="AllowPageBreak"/>
      </w:pPr>
    </w:p>
    <w:p w:rsidR="00000000" w:rsidRPr="00C22FB4" w:rsidP="00C22FB4">
      <w:pPr>
        <w:pStyle w:val="Heading1"/>
      </w:pPr>
      <w:bookmarkStart w:id="3" w:name="O_1037203"/>
      <w:bookmarkEnd w:id="3"/>
      <w:r w:rsidRPr="00C22FB4">
        <w:t>Knowledge Evidence</w:t>
      </w:r>
    </w:p>
    <w:p w:rsidR="00000000" w:rsidRPr="00C22FB4" w:rsidP="00FE4687">
      <w:pPr>
        <w:pStyle w:val="BodyText"/>
      </w:pPr>
      <w:r w:rsidRPr="00C22FB4">
        <w:t>There must</w:t>
      </w:r>
      <w:r w:rsidRPr="00C22FB4">
        <w:t xml:space="preserve"> be evidence the candidate has knowledge of:</w:t>
      </w:r>
    </w:p>
    <w:p w:rsidR="00000000" w:rsidRPr="00C22FB4" w:rsidP="00C22FB4">
      <w:pPr>
        <w:pStyle w:val="ListBullet"/>
      </w:pPr>
      <w:r w:rsidRPr="00C22FB4">
        <w:t>elements and principles of medical grade orthoses and footwear design and how orthoses are used to meet specified requirements</w:t>
      </w:r>
    </w:p>
    <w:p w:rsidR="00000000" w:rsidRPr="00C22FB4" w:rsidP="00C22FB4">
      <w:pPr>
        <w:pStyle w:val="ListBullet"/>
      </w:pPr>
      <w:r w:rsidRPr="00C22FB4">
        <w:t>applied anthropometrics of the foot, including the variables in, and effects of phy</w:t>
      </w:r>
      <w:r w:rsidRPr="00C22FB4">
        <w:t>sical force systems on the body, and other physical characteristics of commercial orthoses and footwear</w:t>
      </w:r>
    </w:p>
    <w:p w:rsidR="00000000" w:rsidRPr="00C22FB4" w:rsidP="00C22FB4">
      <w:pPr>
        <w:pStyle w:val="ListBullet"/>
      </w:pPr>
      <w:r w:rsidRPr="00C22FB4">
        <w:t>effects of different types of corrective orthoses on the foot, ankle, leg and pelvic and lower back functions</w:t>
      </w:r>
    </w:p>
    <w:p w:rsidR="00000000" w:rsidRPr="00C22FB4" w:rsidP="00C22FB4">
      <w:pPr>
        <w:pStyle w:val="ListBullet"/>
      </w:pPr>
      <w:r w:rsidRPr="00C22FB4">
        <w:t>footwear and component construction method</w:t>
      </w:r>
      <w:r w:rsidRPr="00C22FB4">
        <w:t>s and standards used to produce and modify corrective orthoses to meet specifications, including:</w:t>
      </w:r>
    </w:p>
    <w:p w:rsidR="00000000" w:rsidRPr="00C22FB4" w:rsidP="00C22FB4">
      <w:pPr>
        <w:pStyle w:val="ListBullet2"/>
      </w:pPr>
      <w:r w:rsidRPr="00C22FB4">
        <w:t>diagnostic and definitive constructions</w:t>
      </w:r>
    </w:p>
    <w:p w:rsidR="00000000" w:rsidRPr="00C22FB4" w:rsidP="00C22FB4">
      <w:pPr>
        <w:pStyle w:val="ListBullet2"/>
      </w:pPr>
      <w:r w:rsidRPr="00C22FB4">
        <w:t>hand and machine-based techniques</w:t>
      </w:r>
    </w:p>
    <w:p w:rsidR="00000000" w:rsidRPr="00C22FB4" w:rsidP="00C22FB4">
      <w:pPr>
        <w:pStyle w:val="ListBullet2"/>
      </w:pPr>
      <w:r w:rsidRPr="00C22FB4">
        <w:t>product and testing quality standards</w:t>
      </w:r>
    </w:p>
    <w:p w:rsidR="00000000" w:rsidRPr="00C22FB4" w:rsidP="00C22FB4">
      <w:pPr>
        <w:pStyle w:val="ListBullet"/>
      </w:pPr>
      <w:r w:rsidRPr="00C22FB4">
        <w:t>corrective orthoses inclusions:</w:t>
      </w:r>
    </w:p>
    <w:p w:rsidR="00000000" w:rsidRPr="00C22FB4" w:rsidP="00C22FB4">
      <w:pPr>
        <w:pStyle w:val="ListBullet2"/>
      </w:pPr>
      <w:r w:rsidRPr="00C22FB4">
        <w:t>removable inserts</w:t>
      </w:r>
    </w:p>
    <w:p w:rsidR="00000000" w:rsidRPr="00C22FB4" w:rsidP="00C22FB4">
      <w:pPr>
        <w:pStyle w:val="ListBullet2"/>
      </w:pPr>
      <w:r w:rsidRPr="00C22FB4">
        <w:t>incorporated ankle-foot orthoses (AFO)</w:t>
      </w:r>
    </w:p>
    <w:p w:rsidR="00000000" w:rsidRPr="00C22FB4" w:rsidP="00C22FB4">
      <w:pPr>
        <w:pStyle w:val="ListBullet2"/>
      </w:pPr>
      <w:r w:rsidRPr="00C22FB4">
        <w:t>shoes</w:t>
      </w:r>
    </w:p>
    <w:p w:rsidR="00000000" w:rsidRPr="00C22FB4" w:rsidP="00C22FB4">
      <w:pPr>
        <w:pStyle w:val="ListBullet2"/>
      </w:pPr>
      <w:r w:rsidRPr="00C22FB4">
        <w:t xml:space="preserve">post-operative </w:t>
      </w:r>
    </w:p>
    <w:p w:rsidR="00000000" w:rsidRPr="00C22FB4" w:rsidP="00C22FB4">
      <w:pPr>
        <w:pStyle w:val="ListBullet2"/>
      </w:pPr>
      <w:r w:rsidRPr="00C22FB4">
        <w:t>therapy footwear</w:t>
      </w:r>
    </w:p>
    <w:p w:rsidR="00000000" w:rsidRPr="00C22FB4" w:rsidP="00C22FB4">
      <w:pPr>
        <w:pStyle w:val="ListBullet"/>
      </w:pPr>
      <w:r w:rsidRPr="00C22FB4">
        <w:t>corrective orthoses materials typically used to produce corrective orthoses:</w:t>
      </w:r>
    </w:p>
    <w:p w:rsidR="00000000" w:rsidRPr="00C22FB4" w:rsidP="00C22FB4">
      <w:pPr>
        <w:pStyle w:val="ListBullet2"/>
      </w:pPr>
      <w:r w:rsidRPr="00C22FB4">
        <w:t>rubber</w:t>
      </w:r>
    </w:p>
    <w:p w:rsidR="00000000" w:rsidRPr="00C22FB4" w:rsidP="00C22FB4">
      <w:pPr>
        <w:pStyle w:val="ListBullet2"/>
      </w:pPr>
      <w:r w:rsidRPr="00C22FB4">
        <w:t>ethyl vinyl acetate (EVA) and polyurethane foams</w:t>
      </w:r>
    </w:p>
    <w:p w:rsidR="00000000" w:rsidRPr="00C22FB4" w:rsidP="00C22FB4">
      <w:pPr>
        <w:pStyle w:val="ListBullet2"/>
      </w:pPr>
      <w:r w:rsidRPr="00C22FB4">
        <w:t>PVC resins</w:t>
      </w:r>
    </w:p>
    <w:p w:rsidR="00000000" w:rsidRPr="00C22FB4" w:rsidP="00C22FB4">
      <w:pPr>
        <w:pStyle w:val="ListBullet2"/>
      </w:pPr>
      <w:r w:rsidRPr="00C22FB4">
        <w:t>plastics</w:t>
      </w:r>
    </w:p>
    <w:p w:rsidR="00000000" w:rsidRPr="00C22FB4" w:rsidP="00C22FB4">
      <w:pPr>
        <w:pStyle w:val="ListBullet2"/>
      </w:pPr>
      <w:r w:rsidRPr="00C22FB4">
        <w:t>vacuu</w:t>
      </w:r>
      <w:r w:rsidRPr="00C22FB4">
        <w:t xml:space="preserve">m moulding and laminating carbon glass </w:t>
      </w:r>
    </w:p>
    <w:p w:rsidR="00000000" w:rsidRPr="00C22FB4" w:rsidP="00C22FB4">
      <w:pPr>
        <w:pStyle w:val="ListBullet2"/>
      </w:pPr>
      <w:r w:rsidRPr="00C22FB4">
        <w:t xml:space="preserve">Kevlar fibre </w:t>
      </w:r>
    </w:p>
    <w:p w:rsidR="00000000" w:rsidRPr="00C22FB4" w:rsidP="00C22FB4">
      <w:pPr>
        <w:pStyle w:val="ListBullet"/>
      </w:pPr>
      <w:r w:rsidRPr="00C22FB4">
        <w:t>requirements and consequences of corrective orthoses factors, including:</w:t>
      </w:r>
    </w:p>
    <w:p w:rsidR="00000000" w:rsidRPr="00C22FB4" w:rsidP="00C22FB4">
      <w:pPr>
        <w:pStyle w:val="ListBullet2"/>
      </w:pPr>
      <w:r w:rsidRPr="00C22FB4">
        <w:t>biomechanical requirements</w:t>
      </w:r>
    </w:p>
    <w:p w:rsidR="00000000" w:rsidRPr="00C22FB4" w:rsidP="00C22FB4">
      <w:pPr>
        <w:pStyle w:val="ListBullet2"/>
      </w:pPr>
      <w:r w:rsidRPr="00C22FB4">
        <w:t>volume expansion</w:t>
      </w:r>
    </w:p>
    <w:p w:rsidR="00000000" w:rsidRPr="00C22FB4" w:rsidP="00C22FB4">
      <w:pPr>
        <w:pStyle w:val="ListBullet2"/>
      </w:pPr>
      <w:r w:rsidRPr="00C22FB4">
        <w:t xml:space="preserve">functional and positioning </w:t>
      </w:r>
    </w:p>
    <w:p w:rsidR="00000000" w:rsidRPr="00C22FB4" w:rsidP="00C22FB4">
      <w:pPr>
        <w:pStyle w:val="ListBullet"/>
      </w:pPr>
      <w:r w:rsidRPr="00C22FB4">
        <w:t>approaches t</w:t>
      </w:r>
      <w:r w:rsidRPr="00C22FB4">
        <w:t>o problems that require corrective posting or support of foot and ankle:</w:t>
      </w:r>
    </w:p>
    <w:p w:rsidR="00000000" w:rsidRPr="00C22FB4" w:rsidP="00C22FB4">
      <w:pPr>
        <w:pStyle w:val="ListBullet2"/>
      </w:pPr>
      <w:r w:rsidRPr="00C22FB4">
        <w:t>drop foot splint</w:t>
      </w:r>
    </w:p>
    <w:p w:rsidR="00000000" w:rsidRPr="00C22FB4" w:rsidP="00C22FB4">
      <w:pPr>
        <w:pStyle w:val="ListBullet2"/>
      </w:pPr>
      <w:r w:rsidRPr="00C22FB4">
        <w:t>arthrodesis inner shoe to stabilise foot or ankle complex and exclude movement</w:t>
      </w:r>
    </w:p>
    <w:p w:rsidR="00000000" w:rsidRPr="00C22FB4" w:rsidP="00C22FB4">
      <w:pPr>
        <w:pStyle w:val="ListBullet2"/>
      </w:pPr>
      <w:r w:rsidRPr="00C22FB4">
        <w:t>solutions to correct excessive rear foot pronation</w:t>
      </w:r>
    </w:p>
    <w:p w:rsidR="00000000" w:rsidRPr="00C22FB4" w:rsidP="00C22FB4">
      <w:pPr>
        <w:pStyle w:val="ListBullet"/>
      </w:pPr>
      <w:r w:rsidRPr="00C22FB4">
        <w:t>procedures to translate informatio</w:t>
      </w:r>
      <w:r w:rsidRPr="00C22FB4">
        <w:t>n into working patterns</w:t>
      </w:r>
    </w:p>
    <w:p w:rsidR="00000000" w:rsidRPr="00C22FB4" w:rsidP="00C22FB4">
      <w:pPr>
        <w:pStyle w:val="ListBullet"/>
      </w:pPr>
      <w:r w:rsidRPr="00C22FB4">
        <w:t>cast check requirements</w:t>
      </w:r>
    </w:p>
    <w:p w:rsidR="00000000" w:rsidRPr="00C22FB4" w:rsidP="00C22FB4">
      <w:pPr>
        <w:pStyle w:val="ListBullet"/>
      </w:pPr>
      <w:r w:rsidRPr="00C22FB4">
        <w:t>administrative functions related to the construction of corrective orthoses</w:t>
      </w:r>
    </w:p>
    <w:p w:rsidR="00000000" w:rsidRPr="00C22FB4" w:rsidP="00C22FB4">
      <w:pPr>
        <w:pStyle w:val="ListBullet"/>
      </w:pPr>
      <w:r w:rsidRPr="00C22FB4">
        <w:t>legal, ethical and work health and safety (WHS) requirements associated with producing footwear and orthoses.</w:t>
      </w:r>
    </w:p>
    <w:p w:rsidR="00000000" w:rsidRPr="00C22FB4" w:rsidP="00C22FB4">
      <w:pPr>
        <w:pStyle w:val="AllowPageBreak"/>
      </w:pPr>
    </w:p>
    <w:p w:rsidR="00000000" w:rsidRPr="00C22FB4" w:rsidP="00C22FB4">
      <w:pPr>
        <w:pStyle w:val="Heading1"/>
      </w:pPr>
      <w:bookmarkStart w:id="4" w:name="O_1037204"/>
      <w:bookmarkEnd w:id="4"/>
      <w:r w:rsidRPr="00C22FB4">
        <w:t>Ass</w:t>
      </w:r>
      <w:r w:rsidRPr="00C22FB4">
        <w:t>essment Conditions</w:t>
      </w:r>
    </w:p>
    <w:p w:rsidR="00000000" w:rsidRPr="00C22FB4" w:rsidP="00FE4687">
      <w:pPr>
        <w:pStyle w:val="BodyText"/>
      </w:pPr>
      <w:r w:rsidRPr="00C22FB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22FB4" w:rsidP="00C22FB4">
      <w:pPr>
        <w:pStyle w:val="ListBullet"/>
      </w:pPr>
      <w:r w:rsidRPr="00C22FB4">
        <w:t>use of suitable facilities, equipment and resources, including:</w:t>
      </w:r>
    </w:p>
    <w:p w:rsidR="00000000" w:rsidRPr="00C22FB4" w:rsidP="00C22FB4">
      <w:pPr>
        <w:pStyle w:val="ListBullet2"/>
      </w:pPr>
      <w:r w:rsidRPr="00C22FB4">
        <w:t>a workspace used to produce and adjust orthoses using hand and machine-based techniques</w:t>
      </w:r>
    </w:p>
    <w:p w:rsidR="00000000" w:rsidRPr="00C22FB4" w:rsidP="00C22FB4">
      <w:pPr>
        <w:pStyle w:val="ListBullet2"/>
      </w:pPr>
      <w:r w:rsidRPr="00C22FB4">
        <w:t>safety equipment and standard operating procedures</w:t>
      </w:r>
    </w:p>
    <w:p w:rsidR="00000000" w:rsidRPr="00C22FB4" w:rsidP="00C22FB4">
      <w:pPr>
        <w:pStyle w:val="ListBullet"/>
      </w:pPr>
      <w:r w:rsidRPr="00C22FB4">
        <w:t>modelling of industry operating conditions, includi</w:t>
      </w:r>
      <w:r w:rsidRPr="00C22FB4">
        <w:t>ng access to clients.</w:t>
      </w:r>
    </w:p>
    <w:p w:rsidR="00FE4687" w:rsidP="00FE4687">
      <w:pPr>
        <w:pStyle w:val="BodyText"/>
      </w:pPr>
      <w:r w:rsidRPr="00C22FB4">
        <w:t>Assessors must satisfy the NVR/AQTF mandatory competency requirements for assessors.</w:t>
      </w:r>
    </w:p>
    <w:p w:rsidR="00000000" w:rsidRPr="00C22FB4" w:rsidP="00C22FB4">
      <w:pPr>
        <w:pStyle w:val="Heading1"/>
      </w:pPr>
      <w:bookmarkStart w:id="5" w:name="O_1037207"/>
      <w:bookmarkEnd w:id="5"/>
      <w:r w:rsidRPr="00C22FB4">
        <w:t>Links</w:t>
      </w:r>
    </w:p>
    <w:p w:rsidR="00000000" w:rsidRPr="00C22FB4" w:rsidP="00FE4687">
      <w:pPr>
        <w:pStyle w:val="BodyText"/>
      </w:pPr>
      <w:r w:rsidRPr="00C22F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31D8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22FB4" w:rsidP="00C22FB4"/>
    <w:sectPr w:rsidSect="00C22F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B4" w:rsidRPr="00FE4687" w:rsidP="00FE46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87" w:rsidP="00C22F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4687" w:rsidP="00C22F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4687" w:rsidP="00C22F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FB4" w:rsidRPr="00FE4687" w:rsidP="00FE46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87" w:rsidRPr="002D2AF8" w:rsidP="00C22F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MSTMF4011 Produce corrective orthoses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FE4687" w:rsidP="00C22F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42C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2E9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5E8F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F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F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F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F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F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F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F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F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F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F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F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FB4"/>
  </w:style>
  <w:style w:type="character" w:customStyle="1" w:styleId="Heading1Char">
    <w:name w:val="Heading 1 Char"/>
    <w:basedOn w:val="DefaultParagraphFont"/>
    <w:link w:val="Heading1"/>
    <w:rsid w:val="00C22F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F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F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F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2F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2F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F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F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F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F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F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F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F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F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F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F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F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F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F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F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F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F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F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2FB4"/>
    <w:rPr>
      <w:b/>
      <w:spacing w:val="0"/>
    </w:rPr>
  </w:style>
  <w:style w:type="paragraph" w:customStyle="1" w:styleId="SuperTitle">
    <w:name w:val="SuperTitle"/>
    <w:basedOn w:val="Title"/>
    <w:rsid w:val="00C22F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F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F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2F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F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F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F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F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F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F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F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F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FB4"/>
    <w:rPr>
      <w:i/>
    </w:rPr>
  </w:style>
  <w:style w:type="paragraph" w:styleId="Caption">
    <w:name w:val="caption"/>
    <w:basedOn w:val="BodyText"/>
    <w:next w:val="Normal"/>
    <w:qFormat/>
    <w:rsid w:val="00C22F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F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F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FB4"/>
  </w:style>
  <w:style w:type="paragraph" w:styleId="TableofFigures">
    <w:name w:val="table of figures"/>
    <w:basedOn w:val="Normal"/>
    <w:next w:val="Normal"/>
    <w:semiHidden/>
    <w:rsid w:val="00C22F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F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2FB4"/>
    <w:rPr>
      <w:rFonts w:ascii="Wingdings" w:hAnsi="Wingdings"/>
    </w:rPr>
  </w:style>
  <w:style w:type="paragraph" w:customStyle="1" w:styleId="TableHeading">
    <w:name w:val="Table Heading"/>
    <w:basedOn w:val="HeadingBase"/>
    <w:rsid w:val="00C22F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FB4"/>
    <w:rPr>
      <w:color w:val="0033CC"/>
      <w:u w:val="none"/>
    </w:rPr>
  </w:style>
  <w:style w:type="paragraph" w:customStyle="1" w:styleId="BodyTextRight">
    <w:name w:val="Body Text Right"/>
    <w:basedOn w:val="BodyText"/>
    <w:rsid w:val="00C22F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F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F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F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F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F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FB4"/>
    <w:rPr>
      <w:sz w:val="32"/>
    </w:rPr>
  </w:style>
  <w:style w:type="paragraph" w:customStyle="1" w:styleId="HeadingProcedure">
    <w:name w:val="Heading Procedure"/>
    <w:basedOn w:val="HeadingBase"/>
    <w:next w:val="Normal"/>
    <w:rsid w:val="00C22F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FB4"/>
    <w:pPr>
      <w:spacing w:before="60" w:after="60"/>
    </w:pPr>
  </w:style>
  <w:style w:type="paragraph" w:styleId="ListContinue">
    <w:name w:val="List Continue"/>
    <w:basedOn w:val="List"/>
    <w:rsid w:val="00C22FB4"/>
    <w:pPr>
      <w:ind w:firstLine="0"/>
    </w:pPr>
  </w:style>
  <w:style w:type="paragraph" w:customStyle="1" w:styleId="ListNote">
    <w:name w:val="List Note"/>
    <w:basedOn w:val="List"/>
    <w:rsid w:val="00C22F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F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F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FB4"/>
    <w:rPr>
      <w:rFonts w:ascii="Courier New" w:hAnsi="Courier New"/>
    </w:rPr>
  </w:style>
  <w:style w:type="paragraph" w:customStyle="1" w:styleId="NoteBullet">
    <w:name w:val="Note Bullet"/>
    <w:basedOn w:val="Note"/>
    <w:rsid w:val="00C22F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F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F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F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F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2F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F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FB4"/>
    <w:rPr>
      <w:b/>
      <w:smallCaps/>
    </w:rPr>
  </w:style>
  <w:style w:type="paragraph" w:customStyle="1" w:styleId="TableListNumber">
    <w:name w:val="Table List Number"/>
    <w:basedOn w:val="ListNumber"/>
    <w:rsid w:val="00C22F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F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FB4"/>
    <w:pPr>
      <w:numPr>
        <w:numId w:val="9"/>
      </w:numPr>
    </w:pPr>
  </w:style>
  <w:style w:type="paragraph" w:customStyle="1" w:styleId="ListAlpha2">
    <w:name w:val="List Alpha 2"/>
    <w:basedOn w:val="List2"/>
    <w:rsid w:val="00C22FB4"/>
    <w:pPr>
      <w:numPr>
        <w:numId w:val="8"/>
      </w:numPr>
    </w:pPr>
  </w:style>
  <w:style w:type="paragraph" w:styleId="List2">
    <w:name w:val="List 2"/>
    <w:basedOn w:val="BodyText"/>
    <w:rsid w:val="00C22F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F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F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F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F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F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2FB4"/>
    <w:pPr>
      <w:numPr>
        <w:numId w:val="4"/>
      </w:numPr>
    </w:pPr>
  </w:style>
  <w:style w:type="paragraph" w:styleId="ListContinue2">
    <w:name w:val="List Continue 2"/>
    <w:basedOn w:val="List2"/>
    <w:rsid w:val="00C22FB4"/>
    <w:pPr>
      <w:ind w:firstLine="0"/>
    </w:pPr>
  </w:style>
  <w:style w:type="paragraph" w:styleId="ListContinue3">
    <w:name w:val="List Continue 3"/>
    <w:basedOn w:val="List3"/>
    <w:rsid w:val="00C22FB4"/>
    <w:pPr>
      <w:ind w:left="1021" w:firstLine="0"/>
    </w:pPr>
  </w:style>
  <w:style w:type="paragraph" w:styleId="ListContinue4">
    <w:name w:val="List Continue 4"/>
    <w:basedOn w:val="List4"/>
    <w:rsid w:val="00C22FB4"/>
    <w:pPr>
      <w:ind w:firstLine="0"/>
    </w:pPr>
  </w:style>
  <w:style w:type="paragraph" w:styleId="ListContinue5">
    <w:name w:val="List Continue 5"/>
    <w:basedOn w:val="List5"/>
    <w:rsid w:val="00C22FB4"/>
    <w:pPr>
      <w:ind w:firstLine="0"/>
    </w:pPr>
  </w:style>
  <w:style w:type="paragraph" w:styleId="ListNumber3">
    <w:name w:val="List Number 3"/>
    <w:basedOn w:val="List3"/>
    <w:rsid w:val="00C22FB4"/>
    <w:pPr>
      <w:numPr>
        <w:numId w:val="5"/>
      </w:numPr>
    </w:pPr>
  </w:style>
  <w:style w:type="paragraph" w:styleId="ListNumber4">
    <w:name w:val="List Number 4"/>
    <w:basedOn w:val="List4"/>
    <w:rsid w:val="00C22FB4"/>
    <w:pPr>
      <w:numPr>
        <w:numId w:val="6"/>
      </w:numPr>
    </w:pPr>
  </w:style>
  <w:style w:type="paragraph" w:styleId="ListNumber5">
    <w:name w:val="List Number 5"/>
    <w:basedOn w:val="List5"/>
    <w:rsid w:val="00C22FB4"/>
    <w:pPr>
      <w:numPr>
        <w:numId w:val="7"/>
      </w:numPr>
    </w:pPr>
  </w:style>
  <w:style w:type="paragraph" w:styleId="BlockText">
    <w:name w:val="Block Text"/>
    <w:basedOn w:val="Normal"/>
    <w:rsid w:val="00C22F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F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FB4"/>
    <w:rPr>
      <w:sz w:val="16"/>
      <w:vertAlign w:val="superscript"/>
    </w:rPr>
  </w:style>
  <w:style w:type="character" w:customStyle="1" w:styleId="Symbols">
    <w:name w:val="Symbols"/>
    <w:basedOn w:val="DefaultParagraphFont"/>
    <w:rsid w:val="00C22FB4"/>
    <w:rPr>
      <w:rFonts w:ascii="Symbol" w:hAnsi="Symbol"/>
    </w:rPr>
  </w:style>
  <w:style w:type="character" w:customStyle="1" w:styleId="MenuOptions">
    <w:name w:val="Menu Options"/>
    <w:basedOn w:val="DefaultParagraphFont"/>
    <w:rsid w:val="00C22F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FB4"/>
    <w:rPr>
      <w:b/>
    </w:rPr>
  </w:style>
  <w:style w:type="character" w:customStyle="1" w:styleId="Underlined">
    <w:name w:val="Underlined"/>
    <w:basedOn w:val="DefaultParagraphFont"/>
    <w:rsid w:val="00C22FB4"/>
    <w:rPr>
      <w:u w:val="single"/>
    </w:rPr>
  </w:style>
  <w:style w:type="paragraph" w:customStyle="1" w:styleId="TableBodyTextRight">
    <w:name w:val="Table Body Text Right"/>
    <w:basedOn w:val="TableBodyText"/>
    <w:rsid w:val="00C22F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FB4"/>
    <w:rPr>
      <w:sz w:val="18"/>
    </w:rPr>
  </w:style>
  <w:style w:type="paragraph" w:customStyle="1" w:styleId="BodySmallRight">
    <w:name w:val="Body Small Right"/>
    <w:basedOn w:val="BodyTextRight"/>
    <w:rsid w:val="00C22FB4"/>
    <w:rPr>
      <w:sz w:val="18"/>
      <w:szCs w:val="18"/>
    </w:rPr>
  </w:style>
  <w:style w:type="paragraph" w:customStyle="1" w:styleId="MarginEdition">
    <w:name w:val="Margin Edition"/>
    <w:basedOn w:val="MarginNote"/>
    <w:rsid w:val="00C22F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FB4"/>
    <w:rPr>
      <w:sz w:val="2"/>
      <w:szCs w:val="2"/>
    </w:rPr>
  </w:style>
  <w:style w:type="character" w:customStyle="1" w:styleId="Small">
    <w:name w:val="Small"/>
    <w:basedOn w:val="DefaultParagraphFont"/>
    <w:rsid w:val="00C22FB4"/>
    <w:rPr>
      <w:sz w:val="16"/>
    </w:rPr>
  </w:style>
  <w:style w:type="paragraph" w:customStyle="1" w:styleId="WideTable">
    <w:name w:val="Wide Table"/>
    <w:basedOn w:val="Normal"/>
    <w:rsid w:val="00C22F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FB4"/>
  </w:style>
  <w:style w:type="paragraph" w:styleId="Quote">
    <w:name w:val="Quote"/>
    <w:basedOn w:val="Heading1"/>
    <w:link w:val="QuoteChar"/>
    <w:qFormat/>
    <w:rsid w:val="00C22F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F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FB4"/>
    <w:pPr>
      <w:pageBreakBefore/>
    </w:pPr>
  </w:style>
  <w:style w:type="paragraph" w:customStyle="1" w:styleId="Border">
    <w:name w:val="Border"/>
    <w:basedOn w:val="Normal"/>
    <w:qFormat/>
    <w:rsid w:val="00C22F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F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F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F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F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F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F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F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F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FB4"/>
    <w:rPr>
      <w:u w:val="single"/>
    </w:rPr>
  </w:style>
  <w:style w:type="character" w:customStyle="1" w:styleId="BoldandItalics">
    <w:name w:val="Bold and Italics"/>
    <w:qFormat/>
    <w:rsid w:val="00C22FB4"/>
    <w:rPr>
      <w:b/>
      <w:i/>
      <w:u w:val="none"/>
    </w:rPr>
  </w:style>
  <w:style w:type="paragraph" w:styleId="BalloonText">
    <w:name w:val="Balloon Text"/>
    <w:basedOn w:val="Normal"/>
    <w:link w:val="BalloonTextChar"/>
    <w:rsid w:val="00C22F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F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F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F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F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F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FB4"/>
    <w:pPr>
      <w:spacing w:before="0" w:after="0"/>
    </w:pPr>
  </w:style>
  <w:style w:type="paragraph" w:customStyle="1" w:styleId="BodyTextBold">
    <w:name w:val="Body Text Bold"/>
    <w:basedOn w:val="BodyText"/>
    <w:qFormat/>
    <w:rsid w:val="00C22FB4"/>
    <w:rPr>
      <w:b/>
    </w:rPr>
  </w:style>
  <w:style w:type="character" w:styleId="Hyperlink">
    <w:name w:val="Hyperlink"/>
    <w:basedOn w:val="DefaultParagraphFont"/>
    <w:uiPriority w:val="99"/>
    <w:unhideWhenUsed/>
    <w:rsid w:val="00FE46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2708</Characters>
  <Application>Microsoft Office Word</Application>
  <DocSecurity>0</DocSecurity>
  <Lines>73</Lines>
  <Paragraphs>60</Paragraphs>
  <ScaleCrop>false</ScaleCrop>
  <Company>Author-it Software Corporation Ltd.</Company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MSTMF4011 Produce corrective orthoses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2020-07-29T04:14:00Z</dcterms:created>
  <dcterms:modified xsi:type="dcterms:W3CDTF">2020-07-29T04:14:00Z</dcterms:modified>
</cp:coreProperties>
</file>