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5F0C" w:rsidP="00615F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MSTMF4005 Select, produce and adjust casts for accommodative orthoses</w:t>
      </w:r>
      <w:r>
        <w:fldChar w:fldCharType="end"/>
      </w:r>
    </w:p>
    <w:p w:rsidR="00615F0C" w:rsidP="00615F0C">
      <w:pPr>
        <w:pStyle w:val="Version"/>
        <w:sectPr w:rsidSect="006F61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613E" w:rsidP="006F613E">
      <w:pPr>
        <w:pStyle w:val="SuperHeading"/>
      </w:pPr>
      <w:r w:rsidRPr="006F613E">
        <w:t>MSTMF4005 Sel</w:t>
      </w:r>
      <w:r w:rsidRPr="006F613E">
        <w:t>ect, produce and adjust casts for accommodative orthoses</w:t>
      </w:r>
    </w:p>
    <w:p w:rsidR="00000000" w:rsidRPr="006F613E" w:rsidP="006F613E">
      <w:pPr>
        <w:pStyle w:val="Heading1"/>
      </w:pPr>
      <w:bookmarkStart w:id="1" w:name="O_1037077"/>
      <w:bookmarkEnd w:id="1"/>
      <w:r w:rsidRPr="006F613E">
        <w:t>Modification History</w:t>
      </w:r>
    </w:p>
    <w:p w:rsidR="00615F0C" w:rsidP="00615F0C">
      <w:pPr>
        <w:pStyle w:val="BodyText"/>
      </w:pPr>
      <w:r w:rsidRPr="006F613E">
        <w:t>Release 1. Supersedes and is equivalent to LMTMF5001A Select, produce and adjust casts for accommodative orthoses.</w:t>
      </w:r>
    </w:p>
    <w:p w:rsidR="00000000" w:rsidRPr="006F613E" w:rsidP="006F613E">
      <w:pPr>
        <w:pStyle w:val="Heading1"/>
      </w:pPr>
      <w:bookmarkStart w:id="2" w:name="O_1037078"/>
      <w:bookmarkEnd w:id="2"/>
      <w:r w:rsidRPr="006F613E">
        <w:t>Application</w:t>
      </w:r>
    </w:p>
    <w:p w:rsidR="00000000" w:rsidRPr="006F613E" w:rsidP="00615F0C">
      <w:pPr>
        <w:pStyle w:val="BodyText"/>
      </w:pPr>
      <w:r w:rsidRPr="006F613E">
        <w:t xml:space="preserve">This unit of competency describes the skills and knowledge required to select, produce and adjust casts for accommodative orthoses. </w:t>
      </w:r>
    </w:p>
    <w:p w:rsidR="00000000" w:rsidRPr="006F613E" w:rsidP="00615F0C">
      <w:pPr>
        <w:pStyle w:val="BodyText"/>
      </w:pPr>
      <w:r w:rsidRPr="006F613E">
        <w:t>Work is generally conducted in a small business situation. The unit may apply to a sole practitioner, or someone working di</w:t>
      </w:r>
      <w:r w:rsidRPr="006F613E">
        <w:t>rectly with medical grade footwear practitioners.</w:t>
      </w:r>
    </w:p>
    <w:p w:rsidR="00000000" w:rsidRPr="006F613E" w:rsidP="00615F0C">
      <w:pPr>
        <w:pStyle w:val="BodyText"/>
      </w:pPr>
      <w:r w:rsidRPr="006F613E">
        <w:t>No licensing, legislative or certification requirements apply to this unit at the time of publication.</w:t>
      </w:r>
    </w:p>
    <w:p w:rsidR="00000000" w:rsidRPr="006F613E" w:rsidP="006F613E">
      <w:pPr>
        <w:pStyle w:val="Heading1"/>
      </w:pPr>
      <w:bookmarkStart w:id="3" w:name="O_1037079"/>
      <w:bookmarkEnd w:id="3"/>
      <w:r w:rsidRPr="006F613E">
        <w:t>Pre-requisite Unit</w:t>
      </w:r>
    </w:p>
    <w:p w:rsidR="00000000" w:rsidRPr="006F613E" w:rsidP="00615F0C">
      <w:pPr>
        <w:pStyle w:val="BodyText"/>
      </w:pPr>
      <w:r w:rsidRPr="006F613E">
        <w:t>N/A</w:t>
      </w:r>
    </w:p>
    <w:p w:rsidR="00000000" w:rsidRPr="006F613E" w:rsidP="006F613E">
      <w:pPr>
        <w:pStyle w:val="Heading1"/>
      </w:pPr>
      <w:bookmarkStart w:id="4" w:name="O_1037081"/>
      <w:bookmarkEnd w:id="4"/>
      <w:r w:rsidRPr="006F613E">
        <w:t>Unit Sector</w:t>
      </w:r>
    </w:p>
    <w:p w:rsidR="00000000" w:rsidRPr="006F613E" w:rsidP="00615F0C">
      <w:pPr>
        <w:pStyle w:val="BodyText"/>
      </w:pPr>
      <w:r w:rsidRPr="006F613E">
        <w:t>Medical grade footwear</w:t>
      </w:r>
    </w:p>
    <w:p w:rsidR="00000000" w:rsidRPr="006F613E" w:rsidP="006F613E">
      <w:pPr>
        <w:pStyle w:val="Heading1"/>
      </w:pPr>
      <w:bookmarkStart w:id="5" w:name="O_1037082"/>
      <w:bookmarkEnd w:id="5"/>
      <w:r w:rsidRPr="006F613E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9"/>
        <w:gridCol w:w="2299"/>
        <w:gridCol w:w="568"/>
        <w:gridCol w:w="6312"/>
      </w:tblGrid>
      <w:tr w:rsidTr="006F613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13E" w:rsidP="006F613E">
            <w:pPr>
              <w:pStyle w:val="BodyText"/>
            </w:pPr>
            <w:r w:rsidRPr="006F613E">
              <w:rPr>
                <w:rStyle w:val="SpecialBold"/>
              </w:rPr>
              <w:t>Elements</w:t>
            </w:r>
          </w:p>
        </w:tc>
        <w:tc>
          <w:tcPr>
            <w:tcW w:w="688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13E">
            <w:pPr>
              <w:pStyle w:val="BodyText"/>
              <w:rPr>
                <w:lang w:val="en-NZ"/>
              </w:rPr>
            </w:pPr>
            <w:r w:rsidRPr="006F613E">
              <w:rPr>
                <w:rStyle w:val="SpecialBold"/>
              </w:rPr>
              <w:t>Performance Criteria</w:t>
            </w:r>
          </w:p>
        </w:tc>
      </w:tr>
      <w:tr w:rsidTr="006F613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13E">
            <w:pPr>
              <w:pStyle w:val="BodyText"/>
              <w:rPr>
                <w:lang w:val="en-NZ"/>
              </w:rPr>
            </w:pPr>
            <w:r w:rsidRPr="006F613E">
              <w:t>Elements describe the essential outcomes.</w:t>
            </w:r>
          </w:p>
        </w:tc>
        <w:tc>
          <w:tcPr>
            <w:tcW w:w="68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13E">
            <w:pPr>
              <w:pStyle w:val="BodyText"/>
              <w:rPr>
                <w:lang w:val="en-NZ"/>
              </w:rPr>
            </w:pPr>
            <w:r w:rsidRPr="006F613E">
              <w:t xml:space="preserve">Performance criteria describe the performance needed to demonstrate achievement of the element.  </w:t>
            </w:r>
          </w:p>
        </w:tc>
      </w:tr>
      <w:tr w:rsidTr="006F613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13E">
            <w:pPr>
              <w:pStyle w:val="BodyText"/>
              <w:rPr>
                <w:lang w:val="en-NZ"/>
              </w:rPr>
            </w:pPr>
            <w:r w:rsidRPr="006F613E">
              <w:t>1.</w:t>
            </w:r>
          </w:p>
        </w:tc>
        <w:tc>
          <w:tcPr>
            <w:tcW w:w="2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13E">
            <w:pPr>
              <w:pStyle w:val="BodyText"/>
              <w:rPr>
                <w:lang w:val="en-NZ"/>
              </w:rPr>
            </w:pPr>
            <w:r w:rsidRPr="006F613E">
              <w:t>Clarify assessments and prescriptions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13E">
            <w:pPr>
              <w:pStyle w:val="BodyText"/>
              <w:rPr>
                <w:lang w:val="en-NZ"/>
              </w:rPr>
            </w:pPr>
            <w:r w:rsidRPr="006F613E">
              <w:t>1.1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13E">
            <w:pPr>
              <w:pStyle w:val="BodyText"/>
              <w:rPr>
                <w:lang w:val="en-NZ"/>
              </w:rPr>
            </w:pPr>
            <w:r w:rsidRPr="006F613E">
              <w:t>Clarify client requirements and confirm necessary information has been provided</w:t>
            </w:r>
          </w:p>
        </w:tc>
      </w:tr>
      <w:tr w:rsidTr="006F613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13E">
            <w:pPr>
              <w:pStyle w:val="BodyText"/>
              <w:rPr>
                <w:lang w:val="en-NZ"/>
              </w:rPr>
            </w:pPr>
            <w:r w:rsidRPr="006F613E">
              <w:t>1.2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13E">
            <w:pPr>
              <w:pStyle w:val="BodyText"/>
              <w:rPr>
                <w:lang w:val="en-NZ"/>
              </w:rPr>
            </w:pPr>
            <w:r w:rsidRPr="006F613E">
              <w:t>Consult other parties to clarify additional information</w:t>
            </w:r>
          </w:p>
        </w:tc>
      </w:tr>
      <w:tr w:rsidTr="006F613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13E">
            <w:pPr>
              <w:pStyle w:val="BodyText"/>
              <w:rPr>
                <w:lang w:val="en-NZ"/>
              </w:rPr>
            </w:pPr>
            <w:r w:rsidRPr="006F613E">
              <w:t>2.</w:t>
            </w:r>
          </w:p>
        </w:tc>
        <w:tc>
          <w:tcPr>
            <w:tcW w:w="2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13E">
            <w:pPr>
              <w:pStyle w:val="BodyText"/>
              <w:rPr>
                <w:lang w:val="en-NZ"/>
              </w:rPr>
            </w:pPr>
            <w:r w:rsidRPr="006F613E">
              <w:t xml:space="preserve">Select stock accommodative orthoses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13E">
            <w:pPr>
              <w:pStyle w:val="BodyText"/>
              <w:rPr>
                <w:lang w:val="en-NZ"/>
              </w:rPr>
            </w:pPr>
            <w:r w:rsidRPr="006F613E">
              <w:t>2.1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13E">
            <w:pPr>
              <w:pStyle w:val="BodyText"/>
              <w:rPr>
                <w:lang w:val="en-NZ"/>
              </w:rPr>
            </w:pPr>
            <w:r w:rsidRPr="006F613E">
              <w:t>Assess stock last against required foot shape and size to determine if match is suitable</w:t>
            </w:r>
          </w:p>
        </w:tc>
      </w:tr>
      <w:tr w:rsidTr="006F613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13E">
            <w:pPr>
              <w:pStyle w:val="BodyText"/>
              <w:rPr>
                <w:lang w:val="en-NZ"/>
              </w:rPr>
            </w:pPr>
            <w:r w:rsidRPr="006F613E">
              <w:t>2.2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13E">
            <w:pPr>
              <w:pStyle w:val="BodyText"/>
              <w:rPr>
                <w:lang w:val="en-NZ"/>
              </w:rPr>
            </w:pPr>
            <w:r w:rsidRPr="006F613E">
              <w:t>Assess stock accommodative orthoses against required shape and size to determine if match is suitable</w:t>
            </w:r>
          </w:p>
        </w:tc>
      </w:tr>
      <w:tr w:rsidTr="006F613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13E">
            <w:pPr>
              <w:pStyle w:val="BodyText"/>
              <w:rPr>
                <w:lang w:val="en-NZ"/>
              </w:rPr>
            </w:pPr>
            <w:r w:rsidRPr="006F613E">
              <w:t>2.3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13E">
            <w:pPr>
              <w:pStyle w:val="BodyText"/>
              <w:rPr>
                <w:lang w:val="en-NZ"/>
              </w:rPr>
            </w:pPr>
            <w:r w:rsidRPr="006F613E">
              <w:t>Fit and adjust stock accommodative orthoses according to supplier specifications</w:t>
            </w:r>
          </w:p>
        </w:tc>
      </w:tr>
      <w:tr w:rsidTr="006F613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13E">
            <w:pPr>
              <w:pStyle w:val="BodyText"/>
              <w:rPr>
                <w:lang w:val="en-NZ"/>
              </w:rPr>
            </w:pPr>
            <w:r w:rsidRPr="006F613E">
              <w:t>3.</w:t>
            </w:r>
          </w:p>
        </w:tc>
        <w:tc>
          <w:tcPr>
            <w:tcW w:w="2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13E">
            <w:pPr>
              <w:pStyle w:val="BodyText"/>
              <w:rPr>
                <w:lang w:val="en-NZ"/>
              </w:rPr>
            </w:pPr>
            <w:r w:rsidRPr="006F613E">
              <w:t>Produce accommodative orthoses casts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13E">
            <w:pPr>
              <w:pStyle w:val="BodyText"/>
              <w:rPr>
                <w:lang w:val="en-NZ"/>
              </w:rPr>
            </w:pPr>
            <w:r w:rsidRPr="006F613E">
              <w:t>3.1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13E">
            <w:pPr>
              <w:pStyle w:val="BodyText"/>
              <w:rPr>
                <w:lang w:val="en-NZ"/>
              </w:rPr>
            </w:pPr>
            <w:r w:rsidRPr="006F613E">
              <w:t xml:space="preserve">Select appropriate construction techniques and materials to modify or produce accommodative orthoses </w:t>
            </w:r>
          </w:p>
        </w:tc>
      </w:tr>
      <w:tr w:rsidTr="006F613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13E">
            <w:pPr>
              <w:pStyle w:val="BodyText"/>
              <w:rPr>
                <w:lang w:val="en-NZ"/>
              </w:rPr>
            </w:pPr>
            <w:r w:rsidRPr="006F613E">
              <w:t>3.2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13E">
            <w:pPr>
              <w:pStyle w:val="BodyText"/>
              <w:rPr>
                <w:lang w:val="en-NZ"/>
              </w:rPr>
            </w:pPr>
            <w:r w:rsidRPr="006F613E">
              <w:t>Take negative casts for accommodative orthoses using selected materials</w:t>
            </w:r>
          </w:p>
        </w:tc>
      </w:tr>
      <w:tr w:rsidTr="006F613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13E">
            <w:pPr>
              <w:pStyle w:val="BodyText"/>
              <w:rPr>
                <w:lang w:val="en-NZ"/>
              </w:rPr>
            </w:pPr>
            <w:r w:rsidRPr="006F613E">
              <w:t>3.3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13E">
            <w:pPr>
              <w:pStyle w:val="BodyText"/>
              <w:rPr>
                <w:lang w:val="en-NZ"/>
              </w:rPr>
            </w:pPr>
            <w:r w:rsidRPr="006F613E">
              <w:t>Produce positive casts to give desired shape and dimensions for accommodative orthoses according to work health and safety (WHS) practices</w:t>
            </w:r>
          </w:p>
        </w:tc>
      </w:tr>
      <w:tr w:rsidTr="006F613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9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13E">
            <w:pPr>
              <w:pStyle w:val="BodyText"/>
              <w:rPr>
                <w:lang w:val="en-NZ"/>
              </w:rPr>
            </w:pPr>
            <w:r w:rsidRPr="006F613E">
              <w:t>3.4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13E">
            <w:pPr>
              <w:pStyle w:val="BodyText"/>
              <w:rPr>
                <w:lang w:val="en-NZ"/>
              </w:rPr>
            </w:pPr>
            <w:r w:rsidRPr="006F613E">
              <w:t>Assemble accommodative orthoses</w:t>
            </w:r>
            <w:r w:rsidRPr="006F613E">
              <w:t xml:space="preserve"> to comply with design specifications</w:t>
            </w:r>
          </w:p>
        </w:tc>
      </w:tr>
      <w:tr w:rsidTr="006F613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13E">
            <w:pPr>
              <w:pStyle w:val="BodyText"/>
              <w:rPr>
                <w:lang w:val="en-NZ"/>
              </w:rPr>
            </w:pPr>
            <w:r w:rsidRPr="006F613E">
              <w:t>4.</w:t>
            </w:r>
          </w:p>
        </w:tc>
        <w:tc>
          <w:tcPr>
            <w:tcW w:w="2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13E">
            <w:pPr>
              <w:pStyle w:val="BodyText"/>
              <w:rPr>
                <w:lang w:val="en-NZ"/>
              </w:rPr>
            </w:pPr>
            <w:r w:rsidRPr="006F613E">
              <w:t>Finalise production of accommodative orthoses casts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13E">
            <w:pPr>
              <w:pStyle w:val="BodyText"/>
              <w:rPr>
                <w:lang w:val="en-NZ"/>
              </w:rPr>
            </w:pPr>
            <w:r w:rsidRPr="006F613E">
              <w:t>4.1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13E">
            <w:pPr>
              <w:pStyle w:val="BodyText"/>
              <w:rPr>
                <w:lang w:val="en-NZ"/>
              </w:rPr>
            </w:pPr>
            <w:r w:rsidRPr="006F613E">
              <w:t>Perform trial fitting to review fit and function of orthoses cast</w:t>
            </w:r>
          </w:p>
        </w:tc>
      </w:tr>
      <w:tr w:rsidTr="006F613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13E">
            <w:pPr>
              <w:pStyle w:val="BodyText"/>
              <w:rPr>
                <w:lang w:val="en-NZ"/>
              </w:rPr>
            </w:pPr>
            <w:r w:rsidRPr="006F613E">
              <w:t>4.2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13E">
            <w:pPr>
              <w:pStyle w:val="BodyText"/>
              <w:rPr>
                <w:lang w:val="en-NZ"/>
              </w:rPr>
            </w:pPr>
            <w:r w:rsidRPr="006F613E">
              <w:t>Check, adjust and refine orthoses cast to ensure it complies with design requirements and established standards for producing accommodative orthoses</w:t>
            </w:r>
          </w:p>
        </w:tc>
      </w:tr>
      <w:tr w:rsidTr="006F613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13E">
            <w:pPr>
              <w:pStyle w:val="BodyText"/>
              <w:rPr>
                <w:lang w:val="en-NZ"/>
              </w:rPr>
            </w:pPr>
            <w:r w:rsidRPr="006F613E">
              <w:t>4.3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13E" w:rsidP="006F613E">
            <w:pPr>
              <w:pStyle w:val="BodyText"/>
            </w:pPr>
            <w:r w:rsidRPr="006F613E">
              <w:t>Record accommodative orthoses cast details in client file, and complete associated record keeping ac</w:t>
            </w:r>
            <w:r w:rsidRPr="006F613E">
              <w:t>tivities</w:t>
            </w:r>
          </w:p>
        </w:tc>
      </w:tr>
    </w:tbl>
    <w:p w:rsidR="00000000" w:rsidRPr="006F613E" w:rsidP="006F613E">
      <w:pPr>
        <w:pStyle w:val="BodyText"/>
      </w:pPr>
    </w:p>
    <w:p w:rsidR="00000000" w:rsidRPr="006F613E" w:rsidP="006F613E">
      <w:pPr>
        <w:pStyle w:val="AllowPageBreak"/>
      </w:pPr>
    </w:p>
    <w:p w:rsidR="00000000" w:rsidRPr="006F613E" w:rsidP="006F613E">
      <w:pPr>
        <w:pStyle w:val="Heading1"/>
      </w:pPr>
      <w:bookmarkStart w:id="6" w:name="O_1037083"/>
      <w:bookmarkEnd w:id="6"/>
      <w:r w:rsidRPr="006F613E">
        <w:t>Foundation Skills</w:t>
      </w:r>
    </w:p>
    <w:p w:rsidR="00000000" w:rsidRPr="006F613E" w:rsidP="00615F0C">
      <w:pPr>
        <w:pStyle w:val="BodyText"/>
      </w:pPr>
      <w:r w:rsidRPr="006F613E">
        <w:t>This section describes those language, literacy and numeracy skills that are essential to performance but not explicit in the performance criteria of this unit of competency.</w:t>
      </w:r>
    </w:p>
    <w:p w:rsidR="00000000" w:rsidRPr="006F613E" w:rsidP="006F613E">
      <w:pPr>
        <w:pStyle w:val="ListBullet"/>
      </w:pPr>
      <w:r w:rsidRPr="006F613E">
        <w:t>Oral communication skills to interact effectively with client and elicit required detail about accommodative orthoses</w:t>
      </w:r>
    </w:p>
    <w:p w:rsidR="00000000" w:rsidRPr="006F613E" w:rsidP="006F613E">
      <w:pPr>
        <w:pStyle w:val="ListBullet"/>
      </w:pPr>
      <w:r w:rsidRPr="006F613E">
        <w:t>Numeracy skills to accurately measure shape and size of feet and identify differences with shape and dimensions of stock lasts</w:t>
      </w:r>
    </w:p>
    <w:p w:rsidR="00000000" w:rsidRPr="006F613E" w:rsidP="006F613E">
      <w:pPr>
        <w:pStyle w:val="ListBullet"/>
      </w:pPr>
      <w:r w:rsidRPr="006F613E">
        <w:t>Problem sol</w:t>
      </w:r>
      <w:r w:rsidRPr="006F613E">
        <w:t>ving skills to address accommodative orthoses design and construction issues</w:t>
      </w:r>
    </w:p>
    <w:p w:rsidR="00615F0C" w:rsidP="00615F0C">
      <w:pPr>
        <w:pStyle w:val="BodyText"/>
      </w:pPr>
      <w:r w:rsidRPr="006F613E">
        <w:t>Other foundation skills essential to performance are explicit in the performance criteria of this unit.</w:t>
      </w:r>
    </w:p>
    <w:p w:rsidR="00000000" w:rsidRPr="006F613E" w:rsidP="006F613E">
      <w:pPr>
        <w:pStyle w:val="Heading1"/>
      </w:pPr>
      <w:bookmarkStart w:id="7" w:name="O_1037085"/>
      <w:bookmarkEnd w:id="7"/>
      <w:r w:rsidRPr="006F613E">
        <w:t>Unit Mapping Information</w:t>
      </w:r>
    </w:p>
    <w:p w:rsidR="00615F0C" w:rsidP="00615F0C">
      <w:pPr>
        <w:pStyle w:val="BodyText"/>
      </w:pPr>
      <w:r w:rsidRPr="006F613E">
        <w:t>Release 1. Supersedes and is e</w:t>
      </w:r>
      <w:r w:rsidRPr="006F613E">
        <w:t>quivalent to LMTMF5001A Select, produce and adjust casts for accommodative orthoses.</w:t>
      </w:r>
    </w:p>
    <w:p w:rsidR="00000000" w:rsidRPr="006F613E" w:rsidP="006F613E">
      <w:pPr>
        <w:pStyle w:val="Heading1"/>
      </w:pPr>
      <w:bookmarkStart w:id="8" w:name="O_1037092"/>
      <w:bookmarkEnd w:id="8"/>
      <w:r w:rsidRPr="006F613E">
        <w:t>Links</w:t>
      </w:r>
    </w:p>
    <w:p w:rsidR="00000000" w:rsidRPr="006F613E" w:rsidP="00615F0C">
      <w:pPr>
        <w:pStyle w:val="BodyText"/>
      </w:pPr>
      <w:r w:rsidRPr="006F61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6B5397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6F613E" w:rsidP="006F613E"/>
    <w:sectPr w:rsidSect="006F613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1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13E" w:rsidRPr="00615F0C" w:rsidP="00615F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1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F0C" w:rsidP="006F61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5F0C" w:rsidP="006F61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15F0C" w:rsidP="006F61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1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F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613E" w:rsidRPr="00615F0C" w:rsidP="00615F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1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F0C" w:rsidRPr="002D2AF8" w:rsidP="006F61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MSTMF4005 Select, produce and adjust casts for accommodative orthoses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July 2020</w:t>
    </w:r>
    <w:r>
      <w:fldChar w:fldCharType="end"/>
    </w:r>
  </w:p>
  <w:p w:rsidR="00615F0C" w:rsidP="006F61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D8C03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4502F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61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61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61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61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61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61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61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61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61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61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61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613E"/>
  </w:style>
  <w:style w:type="character" w:customStyle="1" w:styleId="Heading1Char">
    <w:name w:val="Heading 1 Char"/>
    <w:basedOn w:val="DefaultParagraphFont"/>
    <w:link w:val="Heading1"/>
    <w:rsid w:val="006F61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61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61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613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613E"/>
    <w:rPr>
      <w:b/>
      <w:spacing w:val="0"/>
    </w:rPr>
  </w:style>
  <w:style w:type="paragraph" w:customStyle="1" w:styleId="SuperHeading">
    <w:name w:val="SuperHeading"/>
    <w:basedOn w:val="Normal"/>
    <w:rsid w:val="006F61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61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61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61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61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61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61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61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61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61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61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61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61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61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61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61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61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61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61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61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61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61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61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61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61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613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61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61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61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61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61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61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61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61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61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613E"/>
    <w:rPr>
      <w:i/>
    </w:rPr>
  </w:style>
  <w:style w:type="paragraph" w:styleId="Caption">
    <w:name w:val="caption"/>
    <w:basedOn w:val="BodyText"/>
    <w:next w:val="Normal"/>
    <w:qFormat/>
    <w:rsid w:val="006F61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61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61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613E"/>
  </w:style>
  <w:style w:type="paragraph" w:styleId="TableofFigures">
    <w:name w:val="table of figures"/>
    <w:basedOn w:val="Normal"/>
    <w:next w:val="Normal"/>
    <w:semiHidden/>
    <w:rsid w:val="006F61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613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F613E"/>
    <w:rPr>
      <w:rFonts w:ascii="Wingdings" w:hAnsi="Wingdings"/>
    </w:rPr>
  </w:style>
  <w:style w:type="paragraph" w:customStyle="1" w:styleId="TableHeading">
    <w:name w:val="Table Heading"/>
    <w:basedOn w:val="HeadingBase"/>
    <w:rsid w:val="006F61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613E"/>
    <w:rPr>
      <w:color w:val="0033CC"/>
      <w:u w:val="none"/>
    </w:rPr>
  </w:style>
  <w:style w:type="paragraph" w:customStyle="1" w:styleId="BodyTextRight">
    <w:name w:val="Body Text Right"/>
    <w:basedOn w:val="BodyText"/>
    <w:rsid w:val="006F61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61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613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61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61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61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613E"/>
    <w:rPr>
      <w:sz w:val="32"/>
    </w:rPr>
  </w:style>
  <w:style w:type="paragraph" w:customStyle="1" w:styleId="HeadingProcedure">
    <w:name w:val="Heading Procedure"/>
    <w:basedOn w:val="HeadingBase"/>
    <w:next w:val="Normal"/>
    <w:rsid w:val="006F61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613E"/>
    <w:pPr>
      <w:spacing w:before="60" w:after="60"/>
    </w:pPr>
  </w:style>
  <w:style w:type="paragraph" w:styleId="ListContinue">
    <w:name w:val="List Continue"/>
    <w:basedOn w:val="List"/>
    <w:rsid w:val="006F613E"/>
    <w:pPr>
      <w:ind w:firstLine="0"/>
    </w:pPr>
  </w:style>
  <w:style w:type="paragraph" w:customStyle="1" w:styleId="ListNote">
    <w:name w:val="List Note"/>
    <w:basedOn w:val="List"/>
    <w:rsid w:val="006F61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61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61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613E"/>
    <w:rPr>
      <w:rFonts w:ascii="Courier New" w:hAnsi="Courier New"/>
    </w:rPr>
  </w:style>
  <w:style w:type="paragraph" w:customStyle="1" w:styleId="NoteBullet">
    <w:name w:val="Note Bullet"/>
    <w:basedOn w:val="Note"/>
    <w:rsid w:val="006F61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61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61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61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613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F61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61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613E"/>
    <w:rPr>
      <w:b/>
      <w:smallCaps/>
    </w:rPr>
  </w:style>
  <w:style w:type="paragraph" w:customStyle="1" w:styleId="TableListNumber">
    <w:name w:val="Table List Number"/>
    <w:basedOn w:val="ListNumber"/>
    <w:rsid w:val="006F61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61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613E"/>
    <w:pPr>
      <w:numPr>
        <w:numId w:val="8"/>
      </w:numPr>
    </w:pPr>
  </w:style>
  <w:style w:type="paragraph" w:customStyle="1" w:styleId="ListAlpha2">
    <w:name w:val="List Alpha 2"/>
    <w:basedOn w:val="List2"/>
    <w:rsid w:val="006F613E"/>
    <w:pPr>
      <w:numPr>
        <w:numId w:val="7"/>
      </w:numPr>
    </w:pPr>
  </w:style>
  <w:style w:type="paragraph" w:styleId="List2">
    <w:name w:val="List 2"/>
    <w:basedOn w:val="BodyText"/>
    <w:rsid w:val="006F61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61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61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61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613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613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F613E"/>
    <w:pPr>
      <w:numPr>
        <w:numId w:val="3"/>
      </w:numPr>
    </w:pPr>
  </w:style>
  <w:style w:type="paragraph" w:styleId="ListContinue2">
    <w:name w:val="List Continue 2"/>
    <w:basedOn w:val="List2"/>
    <w:rsid w:val="006F613E"/>
    <w:pPr>
      <w:ind w:firstLine="0"/>
    </w:pPr>
  </w:style>
  <w:style w:type="paragraph" w:styleId="ListContinue3">
    <w:name w:val="List Continue 3"/>
    <w:basedOn w:val="List3"/>
    <w:rsid w:val="006F613E"/>
    <w:pPr>
      <w:ind w:left="1021" w:firstLine="0"/>
    </w:pPr>
  </w:style>
  <w:style w:type="paragraph" w:styleId="ListContinue4">
    <w:name w:val="List Continue 4"/>
    <w:basedOn w:val="List4"/>
    <w:rsid w:val="006F613E"/>
    <w:pPr>
      <w:ind w:firstLine="0"/>
    </w:pPr>
  </w:style>
  <w:style w:type="paragraph" w:styleId="ListContinue5">
    <w:name w:val="List Continue 5"/>
    <w:basedOn w:val="List5"/>
    <w:rsid w:val="006F613E"/>
    <w:pPr>
      <w:ind w:firstLine="0"/>
    </w:pPr>
  </w:style>
  <w:style w:type="paragraph" w:styleId="ListNumber3">
    <w:name w:val="List Number 3"/>
    <w:basedOn w:val="List3"/>
    <w:rsid w:val="006F613E"/>
    <w:pPr>
      <w:numPr>
        <w:numId w:val="4"/>
      </w:numPr>
    </w:pPr>
  </w:style>
  <w:style w:type="paragraph" w:styleId="ListNumber4">
    <w:name w:val="List Number 4"/>
    <w:basedOn w:val="List4"/>
    <w:rsid w:val="006F613E"/>
    <w:pPr>
      <w:numPr>
        <w:numId w:val="5"/>
      </w:numPr>
    </w:pPr>
  </w:style>
  <w:style w:type="paragraph" w:styleId="ListNumber5">
    <w:name w:val="List Number 5"/>
    <w:basedOn w:val="List5"/>
    <w:rsid w:val="006F613E"/>
    <w:pPr>
      <w:numPr>
        <w:numId w:val="6"/>
      </w:numPr>
    </w:pPr>
  </w:style>
  <w:style w:type="paragraph" w:styleId="BlockText">
    <w:name w:val="Block Text"/>
    <w:basedOn w:val="Normal"/>
    <w:rsid w:val="006F61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61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613E"/>
    <w:rPr>
      <w:sz w:val="16"/>
      <w:vertAlign w:val="superscript"/>
    </w:rPr>
  </w:style>
  <w:style w:type="character" w:customStyle="1" w:styleId="Symbols">
    <w:name w:val="Symbols"/>
    <w:basedOn w:val="DefaultParagraphFont"/>
    <w:rsid w:val="006F613E"/>
    <w:rPr>
      <w:rFonts w:ascii="Symbol" w:hAnsi="Symbol"/>
    </w:rPr>
  </w:style>
  <w:style w:type="character" w:customStyle="1" w:styleId="MenuOptions">
    <w:name w:val="Menu Options"/>
    <w:basedOn w:val="DefaultParagraphFont"/>
    <w:rsid w:val="006F61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613E"/>
    <w:rPr>
      <w:b/>
    </w:rPr>
  </w:style>
  <w:style w:type="character" w:customStyle="1" w:styleId="Underlined">
    <w:name w:val="Underlined"/>
    <w:basedOn w:val="DefaultParagraphFont"/>
    <w:rsid w:val="006F613E"/>
    <w:rPr>
      <w:u w:val="single"/>
    </w:rPr>
  </w:style>
  <w:style w:type="paragraph" w:customStyle="1" w:styleId="TableBodyTextRight">
    <w:name w:val="Table Body Text Right"/>
    <w:basedOn w:val="TableBodyText"/>
    <w:rsid w:val="006F61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613E"/>
    <w:rPr>
      <w:sz w:val="18"/>
    </w:rPr>
  </w:style>
  <w:style w:type="paragraph" w:customStyle="1" w:styleId="BodySmallRight">
    <w:name w:val="Body Small Right"/>
    <w:basedOn w:val="BodyTextRight"/>
    <w:rsid w:val="006F613E"/>
    <w:rPr>
      <w:sz w:val="18"/>
      <w:szCs w:val="18"/>
    </w:rPr>
  </w:style>
  <w:style w:type="paragraph" w:customStyle="1" w:styleId="MarginEdition">
    <w:name w:val="Margin Edition"/>
    <w:basedOn w:val="MarginNote"/>
    <w:rsid w:val="006F61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613E"/>
    <w:rPr>
      <w:sz w:val="2"/>
      <w:szCs w:val="2"/>
    </w:rPr>
  </w:style>
  <w:style w:type="character" w:customStyle="1" w:styleId="Small">
    <w:name w:val="Small"/>
    <w:basedOn w:val="DefaultParagraphFont"/>
    <w:rsid w:val="006F613E"/>
    <w:rPr>
      <w:sz w:val="16"/>
    </w:rPr>
  </w:style>
  <w:style w:type="paragraph" w:customStyle="1" w:styleId="WideTable">
    <w:name w:val="Wide Table"/>
    <w:basedOn w:val="Normal"/>
    <w:rsid w:val="006F61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613E"/>
  </w:style>
  <w:style w:type="paragraph" w:styleId="Quote">
    <w:name w:val="Quote"/>
    <w:basedOn w:val="Heading1"/>
    <w:link w:val="QuoteChar"/>
    <w:qFormat/>
    <w:rsid w:val="006F61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61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613E"/>
    <w:pPr>
      <w:pageBreakBefore/>
    </w:pPr>
  </w:style>
  <w:style w:type="paragraph" w:customStyle="1" w:styleId="Border">
    <w:name w:val="Border"/>
    <w:basedOn w:val="Normal"/>
    <w:qFormat/>
    <w:rsid w:val="006F61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61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61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61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61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61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61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61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61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613E"/>
    <w:rPr>
      <w:u w:val="single"/>
    </w:rPr>
  </w:style>
  <w:style w:type="character" w:customStyle="1" w:styleId="BoldandItalics">
    <w:name w:val="Bold and Italics"/>
    <w:qFormat/>
    <w:rsid w:val="006F613E"/>
    <w:rPr>
      <w:b/>
      <w:i/>
      <w:u w:val="none"/>
    </w:rPr>
  </w:style>
  <w:style w:type="paragraph" w:styleId="BalloonText">
    <w:name w:val="Balloon Text"/>
    <w:basedOn w:val="Normal"/>
    <w:link w:val="BalloonTextChar"/>
    <w:rsid w:val="006F61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61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61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61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61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61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613E"/>
    <w:pPr>
      <w:spacing w:before="0" w:after="0"/>
    </w:pPr>
  </w:style>
  <w:style w:type="paragraph" w:customStyle="1" w:styleId="BodyTextBold">
    <w:name w:val="Body Text Bold"/>
    <w:basedOn w:val="BodyText"/>
    <w:qFormat/>
    <w:rsid w:val="006F613E"/>
    <w:rPr>
      <w:b/>
    </w:rPr>
  </w:style>
  <w:style w:type="character" w:styleId="Hyperlink">
    <w:name w:val="Hyperlink"/>
    <w:basedOn w:val="DefaultParagraphFont"/>
    <w:uiPriority w:val="99"/>
    <w:unhideWhenUsed/>
    <w:rsid w:val="00615F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462</Words>
  <Characters>2971</Characters>
  <Application>Microsoft Office Word</Application>
  <DocSecurity>0</DocSecurity>
  <Lines>129</Lines>
  <Paragraphs>73</Paragraphs>
  <ScaleCrop>false</ScaleCrop>
  <Company>Author-it Software Corporation Ltd.</Company>
  <LinksUpToDate>false</LinksUpToDate>
  <CharactersWithSpaces>3360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MSTMF4005 Select, produce and adjust casts for accommodative orthoses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2020-07-29T03:33:00Z</dcterms:created>
  <dcterms:modified xsi:type="dcterms:W3CDTF">2020-07-29T03:33:00Z</dcterms:modified>
</cp:coreProperties>
</file>