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1CD" w:rsidP="008B61CD">
      <w:pPr>
        <w:pStyle w:val="Title"/>
      </w:pPr>
      <w:r>
        <w:fldChar w:fldCharType="begin"/>
      </w:r>
      <w:r>
        <w:instrText xml:space="preserve"> TITLE   \* MERGEFORMAT </w:instrText>
      </w:r>
      <w:r>
        <w:fldChar w:fldCharType="separate"/>
      </w:r>
      <w:r>
        <w:t>MSTLA3001 Perform advanced laundry operations</w:t>
      </w:r>
      <w:r>
        <w:fldChar w:fldCharType="end"/>
      </w:r>
    </w:p>
    <w:p w:rsidR="008B61CD" w:rsidP="008B61CD">
      <w:pPr>
        <w:pStyle w:val="Version"/>
        <w:sectPr w:rsidSect="00C752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249" w:rsidP="00C75249">
      <w:pPr>
        <w:pStyle w:val="SuperHeading"/>
      </w:pPr>
      <w:r w:rsidRPr="00C75249">
        <w:t>MSTLA3001 Perform advanced laundry operations</w:t>
      </w:r>
    </w:p>
    <w:p w:rsidR="00000000" w:rsidRPr="00C75249" w:rsidP="00C75249">
      <w:pPr>
        <w:pStyle w:val="Heading1"/>
      </w:pPr>
      <w:bookmarkStart w:id="1" w:name="O_936678"/>
      <w:bookmarkEnd w:id="1"/>
      <w:r w:rsidRPr="00C75249">
        <w:t>Modification History</w:t>
      </w:r>
    </w:p>
    <w:p w:rsidR="00000000" w:rsidRPr="00C75249" w:rsidP="008B61CD">
      <w:pPr>
        <w:pStyle w:val="BodyText"/>
      </w:pPr>
      <w:r w:rsidRPr="00C75249">
        <w:t>Release 1. Supersedes and is equivalent to LMTLA3001A Perform advanced laundry operations</w:t>
      </w:r>
    </w:p>
    <w:p w:rsidR="00000000" w:rsidRPr="00C75249" w:rsidP="00C75249">
      <w:pPr>
        <w:pStyle w:val="Heading1"/>
      </w:pPr>
      <w:bookmarkStart w:id="2" w:name="O_936686"/>
      <w:bookmarkEnd w:id="2"/>
      <w:r w:rsidRPr="00C75249">
        <w:t>Application</w:t>
      </w:r>
    </w:p>
    <w:p w:rsidR="00000000" w:rsidRPr="00C75249" w:rsidP="008B61CD">
      <w:pPr>
        <w:pStyle w:val="BodyText"/>
      </w:pPr>
      <w:r w:rsidRPr="00C75249">
        <w:t>This unit of competency covers the skills and knowledge required to use advanced technologies in laundry ope</w:t>
      </w:r>
      <w:r w:rsidRPr="00C75249">
        <w:t xml:space="preserve">rations. </w:t>
      </w:r>
    </w:p>
    <w:p w:rsidR="00000000" w:rsidRPr="00C75249" w:rsidP="008B61CD">
      <w:pPr>
        <w:pStyle w:val="BodyText"/>
      </w:pPr>
      <w:r w:rsidRPr="00C75249">
        <w:t>The unit of competency applies to preparation, control and monitoring of continuous batch or tunnel washer, and interpreting and addressing minor operational problems and faults. It includes determining the order of washing, controlling and moni</w:t>
      </w:r>
      <w:r w:rsidRPr="00C75249">
        <w:t>toring continual batch washers, processing of product to laundry specifications and identifying common operational faults.</w:t>
      </w:r>
    </w:p>
    <w:p w:rsidR="00000000" w:rsidRPr="00C75249" w:rsidP="008B61CD">
      <w:pPr>
        <w:pStyle w:val="BodyText"/>
      </w:pPr>
      <w:r w:rsidRPr="00C75249">
        <w:t>This unit does not cover skills required for entering and conducting checks or repairs inside continual batch washers. Work required</w:t>
      </w:r>
      <w:r w:rsidRPr="00C75249">
        <w:t xml:space="preserve"> inside the machine requires a current permit for working in confined spaces. </w:t>
      </w:r>
    </w:p>
    <w:p w:rsidR="00000000" w:rsidRPr="00C75249" w:rsidP="008B61CD">
      <w:pPr>
        <w:pStyle w:val="BodyText"/>
      </w:pPr>
      <w:r w:rsidRPr="00C75249">
        <w:t xml:space="preserve">Work may be conducted in small to large scale enterprises and may involve individual and team activities. </w:t>
      </w:r>
    </w:p>
    <w:p w:rsidR="00000000" w:rsidRPr="00C75249" w:rsidP="008B61CD">
      <w:pPr>
        <w:pStyle w:val="BodyText"/>
      </w:pPr>
      <w:r w:rsidRPr="00C75249">
        <w:t>No licensing, legislative or certification requirements apply to thi</w:t>
      </w:r>
      <w:r w:rsidRPr="00C75249">
        <w:t>s unit at the time of publication.</w:t>
      </w:r>
    </w:p>
    <w:p w:rsidR="00000000" w:rsidRPr="00C75249" w:rsidP="00C75249">
      <w:pPr>
        <w:pStyle w:val="Heading1"/>
      </w:pPr>
      <w:bookmarkStart w:id="3" w:name="O_936685"/>
      <w:bookmarkEnd w:id="3"/>
      <w:r w:rsidRPr="00C75249">
        <w:t>Pre-requisite Unit</w:t>
      </w:r>
    </w:p>
    <w:p w:rsidR="00000000" w:rsidRPr="00C75249" w:rsidP="008B61CD">
      <w:pPr>
        <w:pStyle w:val="BodyText"/>
      </w:pPr>
      <w:r w:rsidRPr="00C75249">
        <w:t>Nil</w:t>
      </w:r>
    </w:p>
    <w:p w:rsidR="00000000" w:rsidRPr="00C75249" w:rsidP="00C75249">
      <w:pPr>
        <w:pStyle w:val="Heading1"/>
      </w:pPr>
      <w:bookmarkStart w:id="4" w:name="O_936684"/>
      <w:bookmarkEnd w:id="4"/>
      <w:r w:rsidRPr="00C75249">
        <w:t>Competency Field</w:t>
      </w:r>
    </w:p>
    <w:p w:rsidR="00000000" w:rsidRPr="00C75249" w:rsidP="008B61CD">
      <w:pPr>
        <w:pStyle w:val="BodyText"/>
      </w:pPr>
      <w:r w:rsidRPr="00C75249">
        <w:t>Laundry operations</w:t>
      </w:r>
    </w:p>
    <w:p w:rsidR="00000000" w:rsidRPr="00C75249" w:rsidP="00C75249">
      <w:pPr>
        <w:pStyle w:val="Heading1"/>
      </w:pPr>
      <w:bookmarkStart w:id="5" w:name="O_936683"/>
      <w:bookmarkEnd w:id="5"/>
      <w:r w:rsidRPr="00C75249">
        <w:t>Unit Sector</w:t>
      </w:r>
    </w:p>
    <w:p w:rsidR="00000000" w:rsidRPr="00C75249" w:rsidP="008B61CD">
      <w:pPr>
        <w:pStyle w:val="BodyText"/>
      </w:pPr>
      <w:r w:rsidRPr="00C75249">
        <w:t>Not applicable</w:t>
      </w:r>
    </w:p>
    <w:p w:rsidR="00000000" w:rsidRPr="00C75249" w:rsidP="00C75249">
      <w:pPr>
        <w:pStyle w:val="Heading1"/>
      </w:pPr>
      <w:bookmarkStart w:id="6" w:name="O_936682"/>
      <w:bookmarkEnd w:id="6"/>
      <w:r w:rsidRPr="00C7524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7524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Elements describe the essential o</w:t>
            </w:r>
            <w:r w:rsidRPr="00C75249">
              <w:t>utcomes.</w:t>
            </w:r>
          </w:p>
        </w:tc>
        <w:tc>
          <w:tcPr>
            <w:tcW w:w="6380" w:type="dxa"/>
            <w:gridSpan w:val="2"/>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Performance criteria describe the performance needed to demonstrate achievement of the element.</w:t>
            </w: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5249" w:rsidP="00C75249">
            <w:pPr>
              <w:pStyle w:val="BodyText"/>
            </w:pPr>
            <w:r w:rsidRPr="00C75249">
              <w:t>1</w:t>
            </w:r>
          </w:p>
        </w:tc>
        <w:tc>
          <w:tcPr>
            <w:tcW w:w="1962" w:type="dxa"/>
            <w:vMerge w:val="restart"/>
            <w:tcBorders>
              <w:top w:val="nil"/>
              <w:left w:val="nil"/>
              <w:bottom w:val="nil"/>
              <w:right w:val="nil"/>
            </w:tcBorders>
            <w:tcMar>
              <w:top w:w="0" w:type="dxa"/>
              <w:left w:w="62" w:type="dxa"/>
              <w:bottom w:w="0" w:type="dxa"/>
              <w:right w:w="62" w:type="dxa"/>
            </w:tcMar>
          </w:tcPr>
          <w:p w:rsidR="00000000" w:rsidRPr="00C75249" w:rsidP="00C75249">
            <w:pPr>
              <w:pStyle w:val="BodyText"/>
            </w:pPr>
            <w:r w:rsidRPr="00C75249">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1.1</w:t>
            </w:r>
          </w:p>
        </w:tc>
        <w:tc>
          <w:tcPr>
            <w:tcW w:w="561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Follow standard operating procedures (SOPs)</w:t>
            </w: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1.2</w:t>
            </w:r>
          </w:p>
        </w:tc>
        <w:tc>
          <w:tcPr>
            <w:tcW w:w="561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Comply with work health and safety (WHS) requirements at all times</w:t>
            </w: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1.3</w:t>
            </w:r>
          </w:p>
        </w:tc>
        <w:tc>
          <w:tcPr>
            <w:tcW w:w="561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Use appropriate personal protective equipment (PPE) in accordance with SOPs</w:t>
            </w: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1.4</w:t>
            </w:r>
          </w:p>
        </w:tc>
        <w:tc>
          <w:tcPr>
            <w:tcW w:w="561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Identify job requirements from specifications, drawings, job sheets or work instructions</w:t>
            </w:r>
          </w:p>
        </w:tc>
      </w:tr>
      <w:tr w:rsidTr="00C752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5249" w:rsidP="00C75249">
            <w:pPr>
              <w:pStyle w:val="BodyText"/>
            </w:pPr>
            <w:r w:rsidRPr="00C75249">
              <w:t>2</w:t>
            </w:r>
          </w:p>
        </w:tc>
        <w:tc>
          <w:tcPr>
            <w:tcW w:w="1962" w:type="dxa"/>
            <w:vMerge w:val="restart"/>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rPr>
                <w:rStyle w:val="SpecialBold"/>
              </w:rPr>
              <w:t>Prepare for wash</w:t>
            </w: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2.1</w:t>
            </w:r>
          </w:p>
        </w:tc>
        <w:tc>
          <w:tcPr>
            <w:tcW w:w="561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Identify type of continuous batch washer and operational requirements</w:t>
            </w: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2.2</w:t>
            </w:r>
          </w:p>
        </w:tc>
        <w:tc>
          <w:tcPr>
            <w:tcW w:w="561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Determine production schedule and work load priorities</w:t>
            </w: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2.3</w:t>
            </w:r>
          </w:p>
        </w:tc>
        <w:tc>
          <w:tcPr>
            <w:tcW w:w="561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 xml:space="preserve">Conduct equipment start-up checks and identify functions of associated equipment segments </w:t>
            </w:r>
          </w:p>
        </w:tc>
      </w:tr>
      <w:tr w:rsidTr="00C752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5249" w:rsidP="00C75249">
            <w:pPr>
              <w:pStyle w:val="BodyText"/>
            </w:pPr>
            <w:r w:rsidRPr="00C75249">
              <w:t>3</w:t>
            </w:r>
          </w:p>
        </w:tc>
        <w:tc>
          <w:tcPr>
            <w:tcW w:w="1962" w:type="dxa"/>
            <w:vMerge w:val="restart"/>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rPr>
                <w:rStyle w:val="SpecialBold"/>
              </w:rPr>
              <w:t>Operate continuous batch washer</w:t>
            </w: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3.1</w:t>
            </w:r>
          </w:p>
        </w:tc>
        <w:tc>
          <w:tcPr>
            <w:tcW w:w="561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Follow operator instructions and start up machine</w:t>
            </w: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3.2</w:t>
            </w:r>
          </w:p>
        </w:tc>
        <w:tc>
          <w:tcPr>
            <w:tcW w:w="561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Load conveyor and interpret weigh scale</w:t>
            </w: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3.3</w:t>
            </w:r>
          </w:p>
        </w:tc>
        <w:tc>
          <w:tcPr>
            <w:tcW w:w="561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 xml:space="preserve">Achieve correct weight according to product classification and machine manufacturer specification and start washing operations </w:t>
            </w: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3.4</w:t>
            </w:r>
          </w:p>
        </w:tc>
        <w:tc>
          <w:tcPr>
            <w:tcW w:w="561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 xml:space="preserve">Conduct loading, unloading and transfer of laundry according to operational procedures using manual handling techniques, </w:t>
            </w:r>
            <w:r w:rsidRPr="00C75249">
              <w:t>where automatic systems are not in place</w:t>
            </w:r>
          </w:p>
        </w:tc>
      </w:tr>
      <w:tr w:rsidTr="00C752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5249" w:rsidP="00C75249">
            <w:pPr>
              <w:pStyle w:val="BodyText"/>
            </w:pPr>
            <w:r w:rsidRPr="00C75249">
              <w:t>4</w:t>
            </w:r>
          </w:p>
        </w:tc>
        <w:tc>
          <w:tcPr>
            <w:tcW w:w="1962" w:type="dxa"/>
            <w:vMerge w:val="restart"/>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rPr>
                <w:rStyle w:val="SpecialBold"/>
              </w:rPr>
              <w:t>Monitor and finalise washing</w:t>
            </w: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4.1</w:t>
            </w:r>
          </w:p>
        </w:tc>
        <w:tc>
          <w:tcPr>
            <w:tcW w:w="561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Monitor tunnel washer operation and all associated computerised equipment and systems to ensure all processes are functioning accurately</w:t>
            </w: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4.2</w:t>
            </w:r>
          </w:p>
        </w:tc>
        <w:tc>
          <w:tcPr>
            <w:tcW w:w="561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Interpret operational faults identified by computer equipment and address, document and report according to workplace procedures</w:t>
            </w: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4.3</w:t>
            </w:r>
          </w:p>
        </w:tc>
        <w:tc>
          <w:tcPr>
            <w:tcW w:w="561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Remove final load, confirm completion of work load and shut down washer</w:t>
            </w: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4.4</w:t>
            </w:r>
          </w:p>
        </w:tc>
        <w:tc>
          <w:tcPr>
            <w:tcW w:w="561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 xml:space="preserve">Complete shutdown maintenance according to operating procedure </w:t>
            </w:r>
          </w:p>
        </w:tc>
      </w:tr>
      <w:tr w:rsidTr="00C752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4.5</w:t>
            </w:r>
          </w:p>
        </w:tc>
        <w:tc>
          <w:tcPr>
            <w:tcW w:w="5610" w:type="dxa"/>
            <w:tcBorders>
              <w:top w:val="nil"/>
              <w:left w:val="nil"/>
              <w:bottom w:val="nil"/>
              <w:right w:val="nil"/>
            </w:tcBorders>
            <w:tcMar>
              <w:top w:w="0" w:type="dxa"/>
              <w:left w:w="62" w:type="dxa"/>
              <w:bottom w:w="0" w:type="dxa"/>
              <w:right w:w="62" w:type="dxa"/>
            </w:tcMar>
          </w:tcPr>
          <w:p w:rsidR="00000000" w:rsidRPr="00C75249" w:rsidP="00C75249">
            <w:pPr>
              <w:pStyle w:val="BodyText"/>
            </w:pPr>
            <w:r w:rsidRPr="00C75249">
              <w:t>Meet all housekeeping requirements and complete records</w:t>
            </w:r>
          </w:p>
        </w:tc>
      </w:tr>
    </w:tbl>
    <w:p w:rsidR="00000000" w:rsidRPr="00C75249" w:rsidP="00C75249">
      <w:pPr>
        <w:pStyle w:val="BodyText"/>
      </w:pPr>
    </w:p>
    <w:p w:rsidR="00000000" w:rsidRPr="00C75249" w:rsidP="00C75249">
      <w:pPr>
        <w:pStyle w:val="AllowPageBreak"/>
      </w:pPr>
    </w:p>
    <w:p w:rsidR="00000000" w:rsidRPr="00C75249" w:rsidP="00C75249">
      <w:pPr>
        <w:pStyle w:val="Heading1"/>
      </w:pPr>
      <w:bookmarkStart w:id="7" w:name="O_936681"/>
      <w:bookmarkEnd w:id="7"/>
      <w:r w:rsidRPr="00C75249">
        <w:t>Foundation Skills</w:t>
      </w:r>
    </w:p>
    <w:p w:rsidR="00000000" w:rsidRPr="00C75249" w:rsidP="008B61CD">
      <w:pPr>
        <w:pStyle w:val="BodyText"/>
      </w:pPr>
      <w:r w:rsidRPr="00C75249">
        <w:t>This section describes those required skills (language, literacy and numeracy) that are esse</w:t>
      </w:r>
      <w:r w:rsidRPr="00C75249">
        <w:t>ntial to performance.</w:t>
      </w:r>
    </w:p>
    <w:p w:rsidR="00000000" w:rsidRPr="00C75249" w:rsidP="008B61CD">
      <w:pPr>
        <w:pStyle w:val="BodyText"/>
      </w:pPr>
      <w:r w:rsidRPr="00C75249">
        <w:t>Foundation skills essential to performance are explicit in the performance criteria of this unit of competency.</w:t>
      </w:r>
    </w:p>
    <w:p w:rsidR="00000000" w:rsidRPr="00C75249" w:rsidP="00C75249">
      <w:pPr>
        <w:pStyle w:val="Heading1"/>
      </w:pPr>
      <w:bookmarkStart w:id="8" w:name="O_936680"/>
      <w:bookmarkEnd w:id="8"/>
      <w:r w:rsidRPr="00C75249">
        <w:t>Range of Conditions</w:t>
      </w:r>
    </w:p>
    <w:tbl>
      <w:tblPr>
        <w:tblW w:w="0" w:type="auto"/>
        <w:tblCellMar>
          <w:left w:w="62" w:type="dxa"/>
          <w:right w:w="62" w:type="dxa"/>
        </w:tblCellMar>
        <w:tblLook w:val="0000"/>
      </w:tblPr>
      <w:tblGrid>
        <w:gridCol w:w="2163"/>
        <w:gridCol w:w="7033"/>
      </w:tblGrid>
      <w:tr w:rsidTr="008B61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t>This field allows for different work environments and conditions that may affect per</w:t>
            </w:r>
            <w:r w:rsidRPr="00C75249">
              <w:t>formance. Essential operating conditions that may be present (depending on the work situation, needs of the candidate, accessibility of the item, and local industry and regional contexts) are included.</w:t>
            </w:r>
          </w:p>
        </w:tc>
      </w:tr>
      <w:tr w:rsidTr="008B61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75249" w:rsidP="00C75249">
            <w:pPr>
              <w:pStyle w:val="ListBullet"/>
            </w:pPr>
            <w:r w:rsidRPr="00C75249">
              <w:t>requirements prescribed by legislation, awards, agreements and conditions of employment</w:t>
            </w:r>
          </w:p>
          <w:p w:rsidR="00000000" w:rsidRPr="00C75249" w:rsidP="00C75249">
            <w:pPr>
              <w:pStyle w:val="ListBullet"/>
            </w:pPr>
            <w:r w:rsidRPr="00C75249">
              <w:t>SOPs</w:t>
            </w:r>
          </w:p>
          <w:p w:rsidR="00000000" w:rsidRPr="00C75249" w:rsidP="00C75249">
            <w:pPr>
              <w:pStyle w:val="ListBullet"/>
            </w:pPr>
            <w:r w:rsidRPr="00C75249">
              <w:t>work instructions</w:t>
            </w:r>
          </w:p>
          <w:p w:rsidR="00000000" w:rsidRPr="00C75249" w:rsidP="00C75249">
            <w:pPr>
              <w:pStyle w:val="ListBullet"/>
            </w:pPr>
            <w:r w:rsidRPr="00C75249">
              <w:t>oral, written and visual communication</w:t>
            </w:r>
          </w:p>
          <w:p w:rsidR="00000000" w:rsidRPr="00C75249" w:rsidP="00C75249">
            <w:pPr>
              <w:pStyle w:val="ListBullet"/>
            </w:pPr>
            <w:r w:rsidRPr="00C75249">
              <w:t>quality practices, including responsibility fo</w:t>
            </w:r>
            <w:r w:rsidRPr="00C75249">
              <w:t>r maintenance of own work quality and contribution to quality improvement of team or section output</w:t>
            </w:r>
          </w:p>
          <w:p w:rsidR="00000000" w:rsidRPr="00C75249" w:rsidP="00C75249">
            <w:pPr>
              <w:pStyle w:val="ListBullet"/>
            </w:pPr>
            <w:r w:rsidRPr="00C75249">
              <w:t>housekeeping</w:t>
            </w:r>
          </w:p>
          <w:p w:rsidR="00000000" w:rsidRPr="00C75249" w:rsidP="00C75249">
            <w:pPr>
              <w:pStyle w:val="ListBullet"/>
            </w:pPr>
            <w:r w:rsidRPr="00C75249">
              <w:t>tasks related to environmental protection, waste disposal, pollution control and recycling</w:t>
            </w:r>
          </w:p>
          <w:p w:rsidR="00000000" w:rsidRPr="00C75249" w:rsidP="00C75249">
            <w:pPr>
              <w:pStyle w:val="ListBullet"/>
            </w:pPr>
            <w:r w:rsidRPr="00C75249">
              <w:t>WHS practices</w:t>
            </w:r>
          </w:p>
          <w:p w:rsidR="00000000" w:rsidP="00C75249">
            <w:pPr>
              <w:pStyle w:val="BodyText"/>
              <w:rPr>
                <w:lang w:val="en-NZ"/>
              </w:rPr>
            </w:pPr>
          </w:p>
        </w:tc>
      </w:tr>
      <w:tr w:rsidTr="008B61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75249" w:rsidP="00C75249">
            <w:pPr>
              <w:pStyle w:val="ListBullet"/>
            </w:pPr>
            <w:r w:rsidRPr="00C75249">
              <w:t>the relevant industry or Australian Standards that are current at the time this unit is being undertaken</w:t>
            </w:r>
          </w:p>
          <w:p w:rsidR="00000000" w:rsidP="00C75249">
            <w:pPr>
              <w:pStyle w:val="BodyText"/>
              <w:rPr>
                <w:lang w:val="en-NZ"/>
              </w:rPr>
            </w:pPr>
          </w:p>
        </w:tc>
      </w:tr>
      <w:tr w:rsidTr="008B61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rPr>
                <w:rStyle w:val="SpecialBold"/>
              </w:rPr>
              <w:t>Associated equipment segments include the following:</w:t>
            </w:r>
          </w:p>
        </w:tc>
        <w:tc>
          <w:tcPr>
            <w:tcW w:w="0" w:type="auto"/>
            <w:tcBorders>
              <w:top w:val="nil"/>
              <w:left w:val="nil"/>
              <w:bottom w:val="nil"/>
              <w:right w:val="nil"/>
            </w:tcBorders>
            <w:tcMar>
              <w:top w:w="0" w:type="dxa"/>
              <w:left w:w="62" w:type="dxa"/>
              <w:bottom w:w="0" w:type="dxa"/>
              <w:right w:w="62" w:type="dxa"/>
            </w:tcMar>
          </w:tcPr>
          <w:p w:rsidR="00000000" w:rsidRPr="00C75249" w:rsidP="00C75249">
            <w:pPr>
              <w:pStyle w:val="ListBullet"/>
            </w:pPr>
            <w:r w:rsidRPr="00C75249">
              <w:t>sorting area</w:t>
            </w:r>
          </w:p>
          <w:p w:rsidR="00000000" w:rsidRPr="00C75249" w:rsidP="00C75249">
            <w:pPr>
              <w:pStyle w:val="ListBullet"/>
            </w:pPr>
            <w:r w:rsidRPr="00C75249">
              <w:t>dryers</w:t>
            </w:r>
          </w:p>
          <w:p w:rsidR="00000000" w:rsidRPr="00C75249" w:rsidP="00C75249">
            <w:pPr>
              <w:pStyle w:val="ListBullet"/>
            </w:pPr>
            <w:r w:rsidRPr="00C75249">
              <w:t>press</w:t>
            </w:r>
          </w:p>
          <w:p w:rsidR="00000000" w:rsidRPr="00C75249" w:rsidP="00C75249">
            <w:pPr>
              <w:pStyle w:val="ListBullet"/>
            </w:pPr>
            <w:r w:rsidRPr="00C75249">
              <w:t xml:space="preserve">conveyors </w:t>
            </w:r>
          </w:p>
          <w:p w:rsidR="00000000" w:rsidRPr="00C75249" w:rsidP="00C75249">
            <w:pPr>
              <w:pStyle w:val="ListBullet"/>
            </w:pPr>
            <w:r w:rsidRPr="00C75249">
              <w:t>computerised equipment</w:t>
            </w:r>
          </w:p>
          <w:p w:rsidR="00000000" w:rsidP="00C75249">
            <w:pPr>
              <w:pStyle w:val="BodyText"/>
              <w:rPr>
                <w:lang w:val="en-NZ"/>
              </w:rPr>
            </w:pPr>
          </w:p>
        </w:tc>
      </w:tr>
      <w:tr w:rsidTr="008B61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rPr>
                <w:rStyle w:val="SpecialBold"/>
              </w:rPr>
              <w:t xml:space="preserve">Types of continuous batch/tunnel </w:t>
            </w:r>
            <w:r w:rsidRPr="00C75249">
              <w:rPr>
                <w:rStyle w:val="SpecialBold"/>
              </w:rPr>
              <w:t>washers include the following:</w:t>
            </w:r>
          </w:p>
        </w:tc>
        <w:tc>
          <w:tcPr>
            <w:tcW w:w="0" w:type="auto"/>
            <w:tcBorders>
              <w:top w:val="nil"/>
              <w:left w:val="nil"/>
              <w:bottom w:val="nil"/>
              <w:right w:val="nil"/>
            </w:tcBorders>
            <w:tcMar>
              <w:top w:w="0" w:type="dxa"/>
              <w:left w:w="62" w:type="dxa"/>
              <w:bottom w:w="0" w:type="dxa"/>
              <w:right w:w="62" w:type="dxa"/>
            </w:tcMar>
          </w:tcPr>
          <w:p w:rsidR="00000000" w:rsidRPr="00C75249" w:rsidP="00C75249">
            <w:pPr>
              <w:pStyle w:val="ListBullet"/>
            </w:pPr>
            <w:r w:rsidRPr="00C75249">
              <w:t xml:space="preserve">top washer transfer </w:t>
            </w:r>
          </w:p>
          <w:p w:rsidR="00000000" w:rsidRPr="00C75249" w:rsidP="00C75249">
            <w:pPr>
              <w:pStyle w:val="ListBullet"/>
            </w:pPr>
            <w:r w:rsidRPr="00C75249">
              <w:t>bottom washer transfer</w:t>
            </w:r>
          </w:p>
          <w:p w:rsidR="00000000" w:rsidRPr="00C75249" w:rsidP="00C75249">
            <w:pPr>
              <w:pStyle w:val="ListBullet"/>
            </w:pPr>
            <w:r w:rsidRPr="00C75249">
              <w:t>middle transfer</w:t>
            </w:r>
          </w:p>
          <w:p w:rsidR="00000000" w:rsidP="00C75249">
            <w:pPr>
              <w:pStyle w:val="BodyText"/>
              <w:rPr>
                <w:lang w:val="en-NZ"/>
              </w:rPr>
            </w:pPr>
          </w:p>
        </w:tc>
      </w:tr>
      <w:tr w:rsidTr="008B61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rPr>
                <w:rStyle w:val="SpecialBold"/>
              </w:rPr>
              <w:t>Operational faults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75249" w:rsidP="00C75249">
            <w:pPr>
              <w:pStyle w:val="ListBullet"/>
            </w:pPr>
            <w:r w:rsidRPr="00C75249">
              <w:t>conveyor jam</w:t>
            </w:r>
          </w:p>
          <w:p w:rsidR="00000000" w:rsidRPr="00C75249" w:rsidP="00C75249">
            <w:pPr>
              <w:pStyle w:val="ListBullet"/>
            </w:pPr>
            <w:r w:rsidRPr="00C75249">
              <w:t>dryer out of synchronisation</w:t>
            </w:r>
          </w:p>
          <w:p w:rsidR="00000000" w:rsidRPr="00C75249" w:rsidP="00C75249">
            <w:pPr>
              <w:pStyle w:val="ListBullet"/>
            </w:pPr>
            <w:r w:rsidRPr="00C75249">
              <w:t>weighing mechanism out of alignment</w:t>
            </w:r>
          </w:p>
          <w:p w:rsidR="00000000" w:rsidRPr="00C75249" w:rsidP="00C75249">
            <w:pPr>
              <w:pStyle w:val="ListBullet"/>
            </w:pPr>
            <w:r w:rsidRPr="00C75249">
              <w:t>press malfunctions</w:t>
            </w:r>
          </w:p>
          <w:p w:rsidR="00000000" w:rsidRPr="00C75249" w:rsidP="00C75249">
            <w:pPr>
              <w:pStyle w:val="ListBullet"/>
            </w:pPr>
            <w:r w:rsidRPr="00C75249">
              <w:t>drying temperature</w:t>
            </w:r>
          </w:p>
          <w:p w:rsidR="00000000" w:rsidRPr="00C75249" w:rsidP="00C75249">
            <w:pPr>
              <w:pStyle w:val="ListBullet"/>
            </w:pPr>
            <w:r w:rsidRPr="00C75249">
              <w:t>safety gate locking</w:t>
            </w:r>
          </w:p>
          <w:p w:rsidR="00000000" w:rsidRPr="00C75249" w:rsidP="00C75249">
            <w:pPr>
              <w:pStyle w:val="ListBullet"/>
            </w:pPr>
            <w:r w:rsidRPr="00C75249">
              <w:t>missed pockets</w:t>
            </w:r>
          </w:p>
          <w:p w:rsidR="00000000" w:rsidRPr="00C75249" w:rsidP="00C75249">
            <w:pPr>
              <w:pStyle w:val="ListBullet"/>
            </w:pPr>
            <w:r w:rsidRPr="00C75249">
              <w:t>chemical faults</w:t>
            </w:r>
          </w:p>
          <w:p w:rsidR="00000000" w:rsidP="00C75249">
            <w:pPr>
              <w:pStyle w:val="BodyText"/>
              <w:rPr>
                <w:lang w:val="en-NZ"/>
              </w:rPr>
            </w:pPr>
          </w:p>
        </w:tc>
      </w:tr>
      <w:tr w:rsidTr="008B61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249">
            <w:pPr>
              <w:pStyle w:val="BodyText"/>
              <w:rPr>
                <w:lang w:val="en-NZ"/>
              </w:rPr>
            </w:pPr>
            <w:r w:rsidRPr="00C75249">
              <w:rPr>
                <w:rStyle w:val="SpecialBold"/>
              </w:rPr>
              <w:t>Shutdown maintenance includes the following:</w:t>
            </w:r>
          </w:p>
        </w:tc>
        <w:tc>
          <w:tcPr>
            <w:tcW w:w="0" w:type="auto"/>
            <w:tcBorders>
              <w:top w:val="nil"/>
              <w:left w:val="nil"/>
              <w:bottom w:val="nil"/>
              <w:right w:val="nil"/>
            </w:tcBorders>
            <w:tcMar>
              <w:top w:w="0" w:type="dxa"/>
              <w:left w:w="62" w:type="dxa"/>
              <w:bottom w:w="0" w:type="dxa"/>
              <w:right w:w="62" w:type="dxa"/>
            </w:tcMar>
          </w:tcPr>
          <w:p w:rsidR="00000000" w:rsidRPr="00C75249" w:rsidP="00C75249">
            <w:pPr>
              <w:pStyle w:val="ListBullet"/>
            </w:pPr>
            <w:r w:rsidRPr="00C75249">
              <w:t>clean lint bags</w:t>
            </w:r>
          </w:p>
          <w:p w:rsidR="00000000" w:rsidRPr="00C75249" w:rsidP="00C75249">
            <w:pPr>
              <w:pStyle w:val="ListBullet"/>
            </w:pPr>
            <w:r w:rsidRPr="00C75249">
              <w:t xml:space="preserve">collect dropped linen </w:t>
            </w:r>
          </w:p>
          <w:p w:rsidR="00000000" w:rsidRPr="00C75249" w:rsidP="00C75249">
            <w:pPr>
              <w:pStyle w:val="ListBullet"/>
            </w:pPr>
            <w:r w:rsidRPr="00C75249">
              <w:t>clean work area</w:t>
            </w:r>
          </w:p>
        </w:tc>
      </w:tr>
    </w:tbl>
    <w:p w:rsidR="00000000" w:rsidRPr="00C75249" w:rsidP="00C75249">
      <w:pPr>
        <w:pStyle w:val="BodyText"/>
      </w:pPr>
    </w:p>
    <w:p w:rsidR="00000000" w:rsidRPr="00C75249" w:rsidP="00C75249">
      <w:pPr>
        <w:pStyle w:val="AllowPageBreak"/>
      </w:pPr>
    </w:p>
    <w:p w:rsidR="00000000" w:rsidRPr="00C75249" w:rsidP="00C75249">
      <w:pPr>
        <w:pStyle w:val="Heading1"/>
      </w:pPr>
      <w:bookmarkStart w:id="9" w:name="O_936679"/>
      <w:bookmarkEnd w:id="9"/>
      <w:r w:rsidRPr="00C75249">
        <w:t>Unit Mapping Information</w:t>
      </w:r>
    </w:p>
    <w:p w:rsidR="00000000" w:rsidRPr="00C75249" w:rsidP="008B61CD">
      <w:pPr>
        <w:pStyle w:val="BodyText"/>
      </w:pPr>
      <w:r w:rsidRPr="00C75249">
        <w:t>Release 1. Supersedes and is equivalent to LMTLA3001A Perform advanced laundry operations</w:t>
      </w:r>
    </w:p>
    <w:p w:rsidR="00000000" w:rsidRPr="00C75249" w:rsidP="00C75249">
      <w:pPr>
        <w:pStyle w:val="Heading1"/>
      </w:pPr>
      <w:bookmarkStart w:id="10" w:name="O_936672"/>
      <w:bookmarkEnd w:id="10"/>
      <w:r w:rsidRPr="00C75249">
        <w:t>Links</w:t>
      </w:r>
    </w:p>
    <w:p w:rsidR="00000000" w:rsidRPr="00C75249" w:rsidP="008B61CD">
      <w:pPr>
        <w:pStyle w:val="BodyText"/>
      </w:pPr>
      <w:r w:rsidRPr="00C75249">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015711">
        <w:rPr>
          <w:rStyle w:val="Hyperlink"/>
        </w:rPr>
        <w:t>https://vetnet.education.gov.au/Pages/TrainingDocs.aspx?q=a203ec5c-de7d-406b-b3e1-8f1a9b76e92e</w:t>
      </w:r>
      <w:r>
        <w:fldChar w:fldCharType="end"/>
      </w:r>
    </w:p>
    <w:p w:rsidR="00000000" w:rsidRPr="00C75249" w:rsidP="00C75249"/>
    <w:sectPr w:rsidSect="00C752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49" w:rsidRPr="008B61CD" w:rsidP="008B61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CD" w:rsidP="00C75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61CD" w:rsidP="00C7524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61CD" w:rsidP="00C752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5249" w:rsidRPr="008B61CD" w:rsidP="008B61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CD" w:rsidRPr="002D2AF8" w:rsidP="00C75249">
    <w:pPr>
      <w:pStyle w:val="Header"/>
      <w:framePr w:wrap="around"/>
    </w:pPr>
    <w:r>
      <w:fldChar w:fldCharType="begin"/>
    </w:r>
    <w:r>
      <w:instrText xml:space="preserve"> TITLE   \* MERGEFORMAT </w:instrText>
    </w:r>
    <w:r>
      <w:fldChar w:fldCharType="separate"/>
    </w:r>
    <w:r>
      <w:t>MSTLA3001 Perform advanced laundry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8B61CD" w:rsidP="00C75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BA02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E2B6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2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249"/>
    <w:pPr>
      <w:spacing w:before="360" w:after="60"/>
      <w:outlineLvl w:val="0"/>
    </w:pPr>
    <w:rPr>
      <w:sz w:val="32"/>
    </w:rPr>
  </w:style>
  <w:style w:type="paragraph" w:styleId="Heading2">
    <w:name w:val="heading 2"/>
    <w:basedOn w:val="HeadingBase"/>
    <w:next w:val="BodyText"/>
    <w:link w:val="Heading2Char"/>
    <w:qFormat/>
    <w:rsid w:val="00C75249"/>
    <w:pPr>
      <w:keepLines/>
      <w:spacing w:before="240" w:after="120"/>
      <w:outlineLvl w:val="1"/>
    </w:pPr>
    <w:rPr>
      <w:sz w:val="28"/>
      <w:szCs w:val="40"/>
    </w:rPr>
  </w:style>
  <w:style w:type="paragraph" w:styleId="Heading3">
    <w:name w:val="heading 3"/>
    <w:basedOn w:val="HeadingBase"/>
    <w:next w:val="BodyText"/>
    <w:link w:val="Heading3Char"/>
    <w:qFormat/>
    <w:rsid w:val="00C75249"/>
    <w:pPr>
      <w:spacing w:before="180" w:after="120"/>
      <w:outlineLvl w:val="2"/>
    </w:pPr>
    <w:rPr>
      <w:spacing w:val="-10"/>
      <w:kern w:val="32"/>
    </w:rPr>
  </w:style>
  <w:style w:type="paragraph" w:styleId="Heading4">
    <w:name w:val="heading 4"/>
    <w:basedOn w:val="HeadingBase"/>
    <w:next w:val="BodyText"/>
    <w:link w:val="Heading4Char"/>
    <w:qFormat/>
    <w:rsid w:val="00C75249"/>
    <w:pPr>
      <w:spacing w:before="160" w:after="120"/>
      <w:outlineLvl w:val="3"/>
    </w:pPr>
    <w:rPr>
      <w:sz w:val="22"/>
    </w:rPr>
  </w:style>
  <w:style w:type="paragraph" w:styleId="Heading5">
    <w:name w:val="heading 5"/>
    <w:basedOn w:val="HeadingBase"/>
    <w:next w:val="Normal"/>
    <w:link w:val="Heading5Char"/>
    <w:qFormat/>
    <w:rsid w:val="00C75249"/>
    <w:pPr>
      <w:spacing w:before="80"/>
      <w:outlineLvl w:val="4"/>
    </w:pPr>
    <w:rPr>
      <w:color w:val="918585"/>
      <w:sz w:val="20"/>
    </w:rPr>
  </w:style>
  <w:style w:type="paragraph" w:styleId="Heading6">
    <w:name w:val="heading 6"/>
    <w:basedOn w:val="HeadingBase"/>
    <w:next w:val="Normal"/>
    <w:link w:val="Heading6Char"/>
    <w:qFormat/>
    <w:rsid w:val="00C75249"/>
    <w:pPr>
      <w:spacing w:before="60"/>
      <w:outlineLvl w:val="5"/>
    </w:pPr>
    <w:rPr>
      <w:color w:val="918585"/>
      <w:sz w:val="20"/>
    </w:rPr>
  </w:style>
  <w:style w:type="paragraph" w:styleId="Heading7">
    <w:name w:val="heading 7"/>
    <w:basedOn w:val="Normal"/>
    <w:next w:val="Normal"/>
    <w:link w:val="Heading7Char"/>
    <w:qFormat/>
    <w:rsid w:val="00C75249"/>
    <w:pPr>
      <w:ind w:left="720"/>
      <w:outlineLvl w:val="6"/>
    </w:pPr>
    <w:rPr>
      <w:i/>
    </w:rPr>
  </w:style>
  <w:style w:type="paragraph" w:styleId="Heading8">
    <w:name w:val="heading 8"/>
    <w:basedOn w:val="Normal"/>
    <w:next w:val="Normal"/>
    <w:link w:val="Heading8Char"/>
    <w:qFormat/>
    <w:rsid w:val="00C75249"/>
    <w:pPr>
      <w:ind w:left="720"/>
      <w:outlineLvl w:val="7"/>
    </w:pPr>
    <w:rPr>
      <w:i/>
    </w:rPr>
  </w:style>
  <w:style w:type="paragraph" w:styleId="Heading9">
    <w:name w:val="heading 9"/>
    <w:basedOn w:val="Normal"/>
    <w:next w:val="Normal"/>
    <w:link w:val="Heading9Char"/>
    <w:qFormat/>
    <w:rsid w:val="00C75249"/>
    <w:pPr>
      <w:ind w:left="720"/>
      <w:outlineLvl w:val="8"/>
    </w:pPr>
    <w:rPr>
      <w:i/>
    </w:rPr>
  </w:style>
  <w:style w:type="character" w:default="1" w:styleId="DefaultParagraphFont">
    <w:name w:val="Default Paragraph Font"/>
    <w:uiPriority w:val="1"/>
    <w:unhideWhenUsed/>
    <w:rsid w:val="00C75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249"/>
  </w:style>
  <w:style w:type="character" w:customStyle="1" w:styleId="Heading1Char">
    <w:name w:val="Heading 1 Char"/>
    <w:basedOn w:val="DefaultParagraphFont"/>
    <w:link w:val="Heading1"/>
    <w:rsid w:val="00C75249"/>
    <w:rPr>
      <w:rFonts w:ascii="Times New Roman" w:eastAsia="Times New Roman" w:hAnsi="Times New Roman" w:cs="Times New Roman"/>
      <w:b/>
      <w:sz w:val="32"/>
      <w:szCs w:val="20"/>
      <w:lang w:eastAsia="en-US"/>
    </w:rPr>
  </w:style>
  <w:style w:type="paragraph" w:styleId="BodyText">
    <w:name w:val="Body Text"/>
    <w:basedOn w:val="Normal"/>
    <w:link w:val="BodyTextChar"/>
    <w:rsid w:val="00C752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5249"/>
    <w:rPr>
      <w:rFonts w:ascii="Times New Roman" w:eastAsia="Times New Roman" w:hAnsi="Times New Roman" w:cs="Times New Roman"/>
      <w:sz w:val="24"/>
      <w:lang w:eastAsia="en-US"/>
    </w:rPr>
  </w:style>
  <w:style w:type="paragraph" w:styleId="ListBullet">
    <w:name w:val="List Bullet"/>
    <w:basedOn w:val="List"/>
    <w:rsid w:val="00C75249"/>
    <w:pPr>
      <w:numPr>
        <w:numId w:val="11"/>
      </w:numPr>
      <w:tabs>
        <w:tab w:val="clear" w:pos="340"/>
      </w:tabs>
      <w:spacing w:before="40" w:after="40"/>
    </w:pPr>
  </w:style>
  <w:style w:type="character" w:customStyle="1" w:styleId="SpecialBold">
    <w:name w:val="Special Bold"/>
    <w:basedOn w:val="DefaultParagraphFont"/>
    <w:rsid w:val="00C75249"/>
    <w:rPr>
      <w:b/>
      <w:spacing w:val="0"/>
    </w:rPr>
  </w:style>
  <w:style w:type="paragraph" w:customStyle="1" w:styleId="SuperHeading">
    <w:name w:val="SuperHeading"/>
    <w:basedOn w:val="Normal"/>
    <w:rsid w:val="00C75249"/>
    <w:pPr>
      <w:spacing w:before="240" w:after="120"/>
      <w:outlineLvl w:val="0"/>
    </w:pPr>
    <w:rPr>
      <w:rFonts w:ascii="Times New Roman" w:hAnsi="Times New Roman"/>
      <w:b/>
      <w:sz w:val="32"/>
    </w:rPr>
  </w:style>
  <w:style w:type="paragraph" w:customStyle="1" w:styleId="AllowPageBreak">
    <w:name w:val="AllowPageBreak"/>
    <w:rsid w:val="00C752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5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2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2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249"/>
    <w:rPr>
      <w:rFonts w:ascii="Courier New" w:eastAsia="Times New Roman" w:hAnsi="Courier New" w:cs="Times New Roman"/>
      <w:i/>
      <w:szCs w:val="20"/>
      <w:lang w:eastAsia="en-US"/>
    </w:rPr>
  </w:style>
  <w:style w:type="paragraph" w:customStyle="1" w:styleId="HeadingBase">
    <w:name w:val="Heading Base"/>
    <w:rsid w:val="00C75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249"/>
    <w:pPr>
      <w:tabs>
        <w:tab w:val="right" w:leader="dot" w:pos="9072"/>
      </w:tabs>
      <w:ind w:left="567"/>
    </w:pPr>
    <w:rPr>
      <w:szCs w:val="22"/>
    </w:rPr>
  </w:style>
  <w:style w:type="paragraph" w:customStyle="1" w:styleId="TOCBase">
    <w:name w:val="TOC Base"/>
    <w:rsid w:val="00C75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249"/>
    <w:pPr>
      <w:tabs>
        <w:tab w:val="right" w:leader="dot" w:pos="9072"/>
      </w:tabs>
      <w:spacing w:before="40" w:after="40"/>
      <w:ind w:left="284"/>
    </w:pPr>
    <w:rPr>
      <w:rFonts w:ascii="Times New Roman" w:hAnsi="Times New Roman"/>
    </w:rPr>
  </w:style>
  <w:style w:type="paragraph" w:styleId="TOC1">
    <w:name w:val="toc 1"/>
    <w:basedOn w:val="TOCBase"/>
    <w:next w:val="Normal"/>
    <w:rsid w:val="00C752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5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249"/>
    <w:rPr>
      <w:rFonts w:ascii="Times New Roman" w:eastAsia="Times New Roman" w:hAnsi="Times New Roman" w:cs="Times New Roman"/>
      <w:sz w:val="16"/>
      <w:lang w:eastAsia="en-US"/>
    </w:rPr>
  </w:style>
  <w:style w:type="paragraph" w:styleId="Title">
    <w:name w:val="Title"/>
    <w:basedOn w:val="HeadingBase"/>
    <w:link w:val="TitleChar"/>
    <w:qFormat/>
    <w:rsid w:val="00C75249"/>
    <w:pPr>
      <w:spacing w:before="5040"/>
      <w:jc w:val="center"/>
    </w:pPr>
    <w:rPr>
      <w:sz w:val="48"/>
      <w:szCs w:val="72"/>
      <w:lang w:val="en-US"/>
    </w:rPr>
  </w:style>
  <w:style w:type="character" w:customStyle="1" w:styleId="TitleChar">
    <w:name w:val="Title Char"/>
    <w:basedOn w:val="DefaultParagraphFont"/>
    <w:link w:val="Title"/>
    <w:rsid w:val="00C75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249"/>
    <w:pPr>
      <w:tabs>
        <w:tab w:val="left" w:pos="3600"/>
        <w:tab w:val="left" w:pos="3958"/>
      </w:tabs>
    </w:pPr>
  </w:style>
  <w:style w:type="paragraph" w:styleId="List">
    <w:name w:val="List"/>
    <w:basedOn w:val="BodyText"/>
    <w:next w:val="BodyText"/>
    <w:rsid w:val="00C75249"/>
    <w:pPr>
      <w:tabs>
        <w:tab w:val="left" w:pos="340"/>
      </w:tabs>
      <w:spacing w:before="60" w:after="60"/>
      <w:ind w:left="340" w:hanging="340"/>
    </w:pPr>
  </w:style>
  <w:style w:type="paragraph" w:customStyle="1" w:styleId="Note">
    <w:name w:val="Note"/>
    <w:basedOn w:val="BodyText"/>
    <w:rsid w:val="00C75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249"/>
    <w:pPr>
      <w:framePr w:wrap="auto" w:hAnchor="text" w:y="6049"/>
    </w:pPr>
    <w:rPr>
      <w:color w:val="000000"/>
      <w:sz w:val="40"/>
    </w:rPr>
  </w:style>
  <w:style w:type="paragraph" w:customStyle="1" w:styleId="TOCTitle">
    <w:name w:val="TOCTitle"/>
    <w:basedOn w:val="Heading1"/>
    <w:rsid w:val="00C75249"/>
    <w:pPr>
      <w:spacing w:after="240"/>
      <w:jc w:val="center"/>
      <w:outlineLvl w:val="9"/>
    </w:pPr>
    <w:rPr>
      <w:caps/>
    </w:rPr>
  </w:style>
  <w:style w:type="paragraph" w:customStyle="1" w:styleId="Version">
    <w:name w:val="Version"/>
    <w:rsid w:val="00C752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5249"/>
    <w:pPr>
      <w:numPr>
        <w:numId w:val="12"/>
      </w:numPr>
      <w:tabs>
        <w:tab w:val="clear" w:pos="680"/>
      </w:tabs>
    </w:pPr>
  </w:style>
  <w:style w:type="paragraph" w:styleId="Index1">
    <w:name w:val="index 1"/>
    <w:basedOn w:val="Normal"/>
    <w:next w:val="Normal"/>
    <w:semiHidden/>
    <w:rsid w:val="00C75249"/>
    <w:pPr>
      <w:keepNext w:val="0"/>
      <w:tabs>
        <w:tab w:val="right" w:pos="4176"/>
      </w:tabs>
      <w:ind w:left="198" w:hanging="198"/>
    </w:pPr>
    <w:rPr>
      <w:rFonts w:ascii="Garamond" w:hAnsi="Garamond"/>
    </w:rPr>
  </w:style>
  <w:style w:type="paragraph" w:styleId="IndexHeading">
    <w:name w:val="index heading"/>
    <w:basedOn w:val="Normal"/>
    <w:next w:val="Index1"/>
    <w:semiHidden/>
    <w:rsid w:val="00C75249"/>
    <w:pPr>
      <w:spacing w:before="120" w:after="120"/>
    </w:pPr>
    <w:rPr>
      <w:rFonts w:ascii="Arial" w:hAnsi="Arial"/>
      <w:b/>
      <w:color w:val="918585"/>
      <w:sz w:val="24"/>
    </w:rPr>
  </w:style>
  <w:style w:type="paragraph" w:styleId="Header">
    <w:name w:val="header"/>
    <w:basedOn w:val="Normal"/>
    <w:link w:val="HeaderChar"/>
    <w:rsid w:val="00C75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249"/>
    <w:rPr>
      <w:rFonts w:ascii="Times New Roman" w:eastAsia="Times New Roman" w:hAnsi="Times New Roman" w:cs="Times New Roman"/>
      <w:sz w:val="16"/>
      <w:szCs w:val="20"/>
      <w:lang w:val="en-GB" w:eastAsia="en-US"/>
    </w:rPr>
  </w:style>
  <w:style w:type="paragraph" w:customStyle="1" w:styleId="Chapter">
    <w:name w:val="Chapter"/>
    <w:basedOn w:val="Normal"/>
    <w:rsid w:val="00C75249"/>
    <w:pPr>
      <w:spacing w:before="240"/>
    </w:pPr>
    <w:rPr>
      <w:rFonts w:ascii="Times New Roman" w:hAnsi="Times New Roman"/>
      <w:smallCaps/>
      <w:spacing w:val="80"/>
      <w:sz w:val="28"/>
    </w:rPr>
  </w:style>
  <w:style w:type="paragraph" w:customStyle="1" w:styleId="InChapter">
    <w:name w:val="InChapter"/>
    <w:basedOn w:val="Heading3"/>
    <w:rsid w:val="00C75249"/>
    <w:pPr>
      <w:spacing w:after="240"/>
      <w:outlineLvl w:val="9"/>
    </w:pPr>
    <w:rPr>
      <w:noProof/>
    </w:rPr>
  </w:style>
  <w:style w:type="paragraph" w:styleId="Index2">
    <w:name w:val="index 2"/>
    <w:basedOn w:val="Normal"/>
    <w:next w:val="Normal"/>
    <w:semiHidden/>
    <w:rsid w:val="00C75249"/>
    <w:pPr>
      <w:tabs>
        <w:tab w:val="right" w:pos="4176"/>
      </w:tabs>
      <w:ind w:left="568" w:hanging="284"/>
    </w:pPr>
    <w:rPr>
      <w:rFonts w:ascii="Garamond" w:hAnsi="Garamond"/>
    </w:rPr>
  </w:style>
  <w:style w:type="paragraph" w:customStyle="1" w:styleId="Byline">
    <w:name w:val="Byline"/>
    <w:rsid w:val="00C75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249"/>
    <w:pPr>
      <w:tabs>
        <w:tab w:val="clear" w:pos="3600"/>
        <w:tab w:val="clear" w:pos="3958"/>
      </w:tabs>
      <w:jc w:val="right"/>
    </w:pPr>
  </w:style>
  <w:style w:type="character" w:styleId="Emphasis">
    <w:name w:val="Emphasis"/>
    <w:basedOn w:val="DefaultParagraphFont"/>
    <w:qFormat/>
    <w:rsid w:val="00C75249"/>
    <w:rPr>
      <w:i/>
    </w:rPr>
  </w:style>
  <w:style w:type="paragraph" w:styleId="Caption">
    <w:name w:val="caption"/>
    <w:basedOn w:val="BodyText"/>
    <w:next w:val="Normal"/>
    <w:qFormat/>
    <w:rsid w:val="00C75249"/>
    <w:pPr>
      <w:framePr w:w="2268" w:hSpace="181" w:vSpace="181" w:wrap="around" w:vAnchor="text" w:hAnchor="page" w:x="1135" w:y="285" w:anchorLock="1"/>
    </w:pPr>
    <w:rPr>
      <w:i/>
    </w:rPr>
  </w:style>
  <w:style w:type="paragraph" w:customStyle="1" w:styleId="MiniTOCTitle">
    <w:name w:val="MiniTOCTitle"/>
    <w:basedOn w:val="Heading4"/>
    <w:rsid w:val="00C75249"/>
    <w:pPr>
      <w:spacing w:before="240"/>
      <w:outlineLvl w:val="9"/>
    </w:pPr>
    <w:rPr>
      <w:noProof/>
      <w:sz w:val="24"/>
    </w:rPr>
  </w:style>
  <w:style w:type="paragraph" w:customStyle="1" w:styleId="MiniTOCItem">
    <w:name w:val="MiniTOCItem"/>
    <w:basedOn w:val="ListBullet"/>
    <w:rsid w:val="00C75249"/>
    <w:pPr>
      <w:numPr>
        <w:numId w:val="0"/>
      </w:numPr>
      <w:tabs>
        <w:tab w:val="right" w:leader="dot" w:pos="6521"/>
      </w:tabs>
      <w:spacing w:before="0" w:after="0"/>
    </w:pPr>
  </w:style>
  <w:style w:type="paragraph" w:customStyle="1" w:styleId="TOFTitle">
    <w:name w:val="TOFTitle"/>
    <w:basedOn w:val="TOCTitle"/>
    <w:rsid w:val="00C75249"/>
  </w:style>
  <w:style w:type="paragraph" w:styleId="TableofFigures">
    <w:name w:val="table of figures"/>
    <w:basedOn w:val="Normal"/>
    <w:next w:val="Normal"/>
    <w:semiHidden/>
    <w:rsid w:val="00C75249"/>
    <w:pPr>
      <w:tabs>
        <w:tab w:val="right" w:leader="dot" w:pos="9072"/>
      </w:tabs>
      <w:ind w:left="970" w:hanging="403"/>
    </w:pPr>
    <w:rPr>
      <w:rFonts w:ascii="Times New Roman" w:hAnsi="Times New Roman"/>
      <w:b/>
    </w:rPr>
  </w:style>
  <w:style w:type="paragraph" w:styleId="ListNumber">
    <w:name w:val="List Number"/>
    <w:basedOn w:val="List"/>
    <w:rsid w:val="00C75249"/>
    <w:pPr>
      <w:numPr>
        <w:numId w:val="14"/>
      </w:numPr>
      <w:tabs>
        <w:tab w:val="clear" w:pos="340"/>
      </w:tabs>
    </w:pPr>
  </w:style>
  <w:style w:type="character" w:customStyle="1" w:styleId="WingdingSymbols">
    <w:name w:val="Wingding Symbols"/>
    <w:rsid w:val="00C75249"/>
    <w:rPr>
      <w:rFonts w:ascii="Wingdings" w:hAnsi="Wingdings"/>
    </w:rPr>
  </w:style>
  <w:style w:type="paragraph" w:customStyle="1" w:styleId="TableHeading">
    <w:name w:val="Table Heading"/>
    <w:basedOn w:val="HeadingBase"/>
    <w:rsid w:val="00C75249"/>
    <w:pPr>
      <w:keepLines/>
      <w:pBdr>
        <w:bottom w:val="single" w:sz="6" w:space="1" w:color="918585"/>
      </w:pBdr>
      <w:spacing w:before="240"/>
    </w:pPr>
  </w:style>
  <w:style w:type="character" w:customStyle="1" w:styleId="HotSpot">
    <w:name w:val="HotSpot"/>
    <w:rsid w:val="00C75249"/>
    <w:rPr>
      <w:color w:val="0033CC"/>
      <w:u w:val="none"/>
    </w:rPr>
  </w:style>
  <w:style w:type="paragraph" w:customStyle="1" w:styleId="BodyTextRight">
    <w:name w:val="Body Text Right"/>
    <w:basedOn w:val="BodyText"/>
    <w:rsid w:val="00C75249"/>
    <w:pPr>
      <w:spacing w:before="0" w:after="0"/>
      <w:jc w:val="right"/>
    </w:pPr>
  </w:style>
  <w:style w:type="paragraph" w:styleId="Index3">
    <w:name w:val="index 3"/>
    <w:basedOn w:val="ListNumber2"/>
    <w:next w:val="Normal"/>
    <w:semiHidden/>
    <w:rsid w:val="00C75249"/>
    <w:pPr>
      <w:numPr>
        <w:numId w:val="0"/>
      </w:numPr>
      <w:tabs>
        <w:tab w:val="right" w:leader="dot" w:pos="4176"/>
      </w:tabs>
    </w:pPr>
  </w:style>
  <w:style w:type="paragraph" w:styleId="ListNumber2">
    <w:name w:val="List Number 2"/>
    <w:basedOn w:val="List2"/>
    <w:rsid w:val="00C75249"/>
    <w:pPr>
      <w:numPr>
        <w:numId w:val="9"/>
      </w:numPr>
      <w:tabs>
        <w:tab w:val="clear" w:pos="1060"/>
      </w:tabs>
    </w:pPr>
  </w:style>
  <w:style w:type="paragraph" w:customStyle="1" w:styleId="MarginNote">
    <w:name w:val="Margin Note"/>
    <w:basedOn w:val="BodyText"/>
    <w:rsid w:val="00C75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2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249"/>
    <w:rPr>
      <w:sz w:val="32"/>
    </w:rPr>
  </w:style>
  <w:style w:type="paragraph" w:customStyle="1" w:styleId="HeadingProcedure">
    <w:name w:val="Heading Procedure"/>
    <w:basedOn w:val="HeadingBase"/>
    <w:next w:val="Normal"/>
    <w:rsid w:val="00C75249"/>
    <w:pPr>
      <w:tabs>
        <w:tab w:val="left" w:pos="0"/>
      </w:tabs>
      <w:spacing w:before="120" w:after="60"/>
    </w:pPr>
    <w:rPr>
      <w:i/>
      <w:color w:val="918585"/>
      <w:sz w:val="22"/>
    </w:rPr>
  </w:style>
  <w:style w:type="paragraph" w:customStyle="1" w:styleId="TableBodyText">
    <w:name w:val="Table Body Text"/>
    <w:basedOn w:val="BodyText"/>
    <w:rsid w:val="00C75249"/>
    <w:pPr>
      <w:spacing w:before="60" w:after="60"/>
    </w:pPr>
  </w:style>
  <w:style w:type="paragraph" w:styleId="ListContinue">
    <w:name w:val="List Continue"/>
    <w:basedOn w:val="List"/>
    <w:rsid w:val="00C75249"/>
    <w:pPr>
      <w:ind w:firstLine="0"/>
    </w:pPr>
  </w:style>
  <w:style w:type="paragraph" w:customStyle="1" w:styleId="ListNote">
    <w:name w:val="List Note"/>
    <w:basedOn w:val="List"/>
    <w:rsid w:val="00C75249"/>
    <w:pPr>
      <w:pBdr>
        <w:top w:val="single" w:sz="6" w:space="2" w:color="918585"/>
        <w:bottom w:val="single" w:sz="6" w:space="2" w:color="918585"/>
      </w:pBdr>
      <w:tabs>
        <w:tab w:val="left" w:pos="1021"/>
      </w:tabs>
      <w:ind w:firstLine="0"/>
    </w:pPr>
  </w:style>
  <w:style w:type="paragraph" w:customStyle="1" w:styleId="Warning">
    <w:name w:val="Warning"/>
    <w:basedOn w:val="BodyText"/>
    <w:rsid w:val="00C75249"/>
    <w:pPr>
      <w:shd w:val="clear" w:color="auto" w:fill="D9D9D9"/>
      <w:tabs>
        <w:tab w:val="left" w:pos="992"/>
      </w:tabs>
      <w:ind w:left="119" w:right="119"/>
    </w:pPr>
    <w:rPr>
      <w:sz w:val="20"/>
    </w:rPr>
  </w:style>
  <w:style w:type="paragraph" w:customStyle="1" w:styleId="MarginIcons">
    <w:name w:val="Margin Icons"/>
    <w:basedOn w:val="BodyText"/>
    <w:rsid w:val="00C75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249"/>
    <w:rPr>
      <w:rFonts w:ascii="Courier New" w:hAnsi="Courier New"/>
    </w:rPr>
  </w:style>
  <w:style w:type="paragraph" w:customStyle="1" w:styleId="NoteBullet">
    <w:name w:val="Note Bullet"/>
    <w:basedOn w:val="Note"/>
    <w:rsid w:val="00C75249"/>
    <w:pPr>
      <w:tabs>
        <w:tab w:val="clear" w:pos="680"/>
      </w:tabs>
      <w:spacing w:before="60" w:after="60"/>
    </w:pPr>
  </w:style>
  <w:style w:type="paragraph" w:customStyle="1" w:styleId="SubHeading2">
    <w:name w:val="SubHeading2"/>
    <w:basedOn w:val="HeadingBase"/>
    <w:rsid w:val="00C75249"/>
    <w:pPr>
      <w:spacing w:before="240" w:after="60"/>
    </w:pPr>
    <w:rPr>
      <w:sz w:val="20"/>
    </w:rPr>
  </w:style>
  <w:style w:type="paragraph" w:customStyle="1" w:styleId="SubHeading1">
    <w:name w:val="SubHeading1"/>
    <w:basedOn w:val="HeadingBase"/>
    <w:rsid w:val="00C75249"/>
    <w:pPr>
      <w:spacing w:before="240" w:after="60"/>
    </w:pPr>
    <w:rPr>
      <w:color w:val="918585"/>
      <w:sz w:val="22"/>
    </w:rPr>
  </w:style>
  <w:style w:type="paragraph" w:customStyle="1" w:styleId="SideHeading">
    <w:name w:val="Side Heading"/>
    <w:basedOn w:val="HeadingBase"/>
    <w:rsid w:val="00C75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249"/>
    <w:pPr>
      <w:numPr>
        <w:numId w:val="10"/>
      </w:numPr>
    </w:pPr>
  </w:style>
  <w:style w:type="paragraph" w:styleId="PlainText">
    <w:name w:val="Plain Text"/>
    <w:basedOn w:val="Normal"/>
    <w:link w:val="PlainTextChar"/>
    <w:rsid w:val="00C75249"/>
    <w:rPr>
      <w:sz w:val="20"/>
    </w:rPr>
  </w:style>
  <w:style w:type="character" w:customStyle="1" w:styleId="PlainTextChar">
    <w:name w:val="Plain Text Char"/>
    <w:basedOn w:val="DefaultParagraphFont"/>
    <w:link w:val="PlainText"/>
    <w:rsid w:val="00C75249"/>
    <w:rPr>
      <w:rFonts w:ascii="Courier New" w:eastAsia="Times New Roman" w:hAnsi="Courier New" w:cs="Times New Roman"/>
      <w:sz w:val="20"/>
      <w:szCs w:val="20"/>
      <w:lang w:eastAsia="en-US"/>
    </w:rPr>
  </w:style>
  <w:style w:type="character" w:customStyle="1" w:styleId="MenuOption">
    <w:name w:val="Menu Option"/>
    <w:basedOn w:val="DefaultParagraphFont"/>
    <w:rsid w:val="00C75249"/>
    <w:rPr>
      <w:b/>
      <w:smallCaps/>
    </w:rPr>
  </w:style>
  <w:style w:type="paragraph" w:customStyle="1" w:styleId="TableListNumber">
    <w:name w:val="Table List Number"/>
    <w:basedOn w:val="ListNumber"/>
    <w:rsid w:val="00C75249"/>
    <w:pPr>
      <w:numPr>
        <w:numId w:val="0"/>
      </w:numPr>
    </w:pPr>
  </w:style>
  <w:style w:type="paragraph" w:styleId="TOC4">
    <w:name w:val="toc 4"/>
    <w:basedOn w:val="TOCBase"/>
    <w:next w:val="Normal"/>
    <w:semiHidden/>
    <w:rsid w:val="00C75249"/>
    <w:pPr>
      <w:tabs>
        <w:tab w:val="right" w:leader="dot" w:pos="9071"/>
      </w:tabs>
      <w:ind w:left="1701"/>
    </w:pPr>
  </w:style>
  <w:style w:type="paragraph" w:customStyle="1" w:styleId="ListAlpha">
    <w:name w:val="List Alpha"/>
    <w:basedOn w:val="List"/>
    <w:rsid w:val="00C75249"/>
    <w:pPr>
      <w:numPr>
        <w:numId w:val="8"/>
      </w:numPr>
    </w:pPr>
  </w:style>
  <w:style w:type="paragraph" w:customStyle="1" w:styleId="ListAlpha2">
    <w:name w:val="List Alpha 2"/>
    <w:basedOn w:val="List2"/>
    <w:rsid w:val="00C75249"/>
    <w:pPr>
      <w:numPr>
        <w:numId w:val="7"/>
      </w:numPr>
    </w:pPr>
  </w:style>
  <w:style w:type="paragraph" w:styleId="List2">
    <w:name w:val="List 2"/>
    <w:basedOn w:val="BodyText"/>
    <w:rsid w:val="00C75249"/>
    <w:pPr>
      <w:tabs>
        <w:tab w:val="left" w:pos="680"/>
      </w:tabs>
      <w:spacing w:before="60" w:after="60"/>
      <w:ind w:left="680" w:hanging="340"/>
    </w:pPr>
  </w:style>
  <w:style w:type="paragraph" w:styleId="List3">
    <w:name w:val="List 3"/>
    <w:basedOn w:val="BodyText"/>
    <w:rsid w:val="00C75249"/>
    <w:pPr>
      <w:tabs>
        <w:tab w:val="left" w:pos="1021"/>
      </w:tabs>
      <w:spacing w:before="60" w:after="60"/>
      <w:ind w:left="1020" w:hanging="340"/>
    </w:pPr>
  </w:style>
  <w:style w:type="paragraph" w:styleId="List4">
    <w:name w:val="List 4"/>
    <w:basedOn w:val="BodyText"/>
    <w:rsid w:val="00C75249"/>
    <w:pPr>
      <w:tabs>
        <w:tab w:val="left" w:pos="1361"/>
      </w:tabs>
      <w:spacing w:before="60" w:after="60"/>
      <w:ind w:left="1361" w:hanging="340"/>
    </w:pPr>
  </w:style>
  <w:style w:type="paragraph" w:styleId="List5">
    <w:name w:val="List 5"/>
    <w:basedOn w:val="BodyText"/>
    <w:rsid w:val="00C75249"/>
    <w:pPr>
      <w:tabs>
        <w:tab w:val="left" w:pos="1701"/>
      </w:tabs>
      <w:spacing w:before="60" w:after="60"/>
      <w:ind w:left="1701" w:hanging="340"/>
    </w:pPr>
  </w:style>
  <w:style w:type="paragraph" w:styleId="ListBullet3">
    <w:name w:val="List Bullet 3"/>
    <w:basedOn w:val="List3"/>
    <w:rsid w:val="00C75249"/>
    <w:pPr>
      <w:numPr>
        <w:numId w:val="13"/>
      </w:numPr>
      <w:tabs>
        <w:tab w:val="clear" w:pos="1021"/>
      </w:tabs>
      <w:ind w:left="1037" w:hanging="357"/>
    </w:pPr>
  </w:style>
  <w:style w:type="paragraph" w:styleId="ListBullet4">
    <w:name w:val="List Bullet 4"/>
    <w:basedOn w:val="List4"/>
    <w:rsid w:val="00C75249"/>
    <w:pPr>
      <w:numPr>
        <w:numId w:val="2"/>
      </w:numPr>
      <w:tabs>
        <w:tab w:val="clear" w:pos="1361"/>
      </w:tabs>
    </w:pPr>
  </w:style>
  <w:style w:type="paragraph" w:styleId="ListBullet5">
    <w:name w:val="List Bullet 5"/>
    <w:basedOn w:val="List5"/>
    <w:rsid w:val="00C75249"/>
    <w:pPr>
      <w:numPr>
        <w:numId w:val="3"/>
      </w:numPr>
    </w:pPr>
  </w:style>
  <w:style w:type="paragraph" w:styleId="ListContinue2">
    <w:name w:val="List Continue 2"/>
    <w:basedOn w:val="List2"/>
    <w:rsid w:val="00C75249"/>
    <w:pPr>
      <w:ind w:firstLine="0"/>
    </w:pPr>
  </w:style>
  <w:style w:type="paragraph" w:styleId="ListContinue3">
    <w:name w:val="List Continue 3"/>
    <w:basedOn w:val="List3"/>
    <w:rsid w:val="00C75249"/>
    <w:pPr>
      <w:ind w:left="1021" w:firstLine="0"/>
    </w:pPr>
  </w:style>
  <w:style w:type="paragraph" w:styleId="ListContinue4">
    <w:name w:val="List Continue 4"/>
    <w:basedOn w:val="List4"/>
    <w:rsid w:val="00C75249"/>
    <w:pPr>
      <w:ind w:firstLine="0"/>
    </w:pPr>
  </w:style>
  <w:style w:type="paragraph" w:styleId="ListContinue5">
    <w:name w:val="List Continue 5"/>
    <w:basedOn w:val="List5"/>
    <w:rsid w:val="00C75249"/>
    <w:pPr>
      <w:ind w:firstLine="0"/>
    </w:pPr>
  </w:style>
  <w:style w:type="paragraph" w:styleId="ListNumber3">
    <w:name w:val="List Number 3"/>
    <w:basedOn w:val="List3"/>
    <w:rsid w:val="00C75249"/>
    <w:pPr>
      <w:numPr>
        <w:numId w:val="4"/>
      </w:numPr>
    </w:pPr>
  </w:style>
  <w:style w:type="paragraph" w:styleId="ListNumber4">
    <w:name w:val="List Number 4"/>
    <w:basedOn w:val="List4"/>
    <w:rsid w:val="00C75249"/>
    <w:pPr>
      <w:numPr>
        <w:numId w:val="5"/>
      </w:numPr>
    </w:pPr>
  </w:style>
  <w:style w:type="paragraph" w:styleId="ListNumber5">
    <w:name w:val="List Number 5"/>
    <w:basedOn w:val="List5"/>
    <w:rsid w:val="00C75249"/>
    <w:pPr>
      <w:numPr>
        <w:numId w:val="6"/>
      </w:numPr>
    </w:pPr>
  </w:style>
  <w:style w:type="paragraph" w:styleId="BlockText">
    <w:name w:val="Block Text"/>
    <w:basedOn w:val="Normal"/>
    <w:rsid w:val="00C75249"/>
    <w:pPr>
      <w:spacing w:after="120"/>
      <w:ind w:left="1440" w:right="1440"/>
    </w:pPr>
  </w:style>
  <w:style w:type="character" w:customStyle="1" w:styleId="Subscript">
    <w:name w:val="Subscript"/>
    <w:basedOn w:val="DefaultParagraphFont"/>
    <w:rsid w:val="00C75249"/>
    <w:rPr>
      <w:sz w:val="16"/>
      <w:vertAlign w:val="subscript"/>
    </w:rPr>
  </w:style>
  <w:style w:type="character" w:customStyle="1" w:styleId="Superscript">
    <w:name w:val="Superscript"/>
    <w:basedOn w:val="DefaultParagraphFont"/>
    <w:rsid w:val="00C75249"/>
    <w:rPr>
      <w:sz w:val="16"/>
      <w:vertAlign w:val="superscript"/>
    </w:rPr>
  </w:style>
  <w:style w:type="character" w:customStyle="1" w:styleId="Symbols">
    <w:name w:val="Symbols"/>
    <w:basedOn w:val="DefaultParagraphFont"/>
    <w:rsid w:val="00C75249"/>
    <w:rPr>
      <w:rFonts w:ascii="Symbol" w:hAnsi="Symbol"/>
    </w:rPr>
  </w:style>
  <w:style w:type="character" w:customStyle="1" w:styleId="MenuOptions">
    <w:name w:val="Menu Options"/>
    <w:basedOn w:val="DefaultParagraphFont"/>
    <w:rsid w:val="00C75249"/>
    <w:rPr>
      <w:rFonts w:ascii="Arial Narrow" w:hAnsi="Arial Narrow"/>
      <w:smallCaps/>
    </w:rPr>
  </w:style>
  <w:style w:type="character" w:customStyle="1" w:styleId="Buttons">
    <w:name w:val="Buttons"/>
    <w:basedOn w:val="DefaultParagraphFont"/>
    <w:rsid w:val="00C75249"/>
    <w:rPr>
      <w:b/>
    </w:rPr>
  </w:style>
  <w:style w:type="character" w:customStyle="1" w:styleId="Underlined">
    <w:name w:val="Underlined"/>
    <w:basedOn w:val="DefaultParagraphFont"/>
    <w:rsid w:val="00C75249"/>
    <w:rPr>
      <w:u w:val="single"/>
    </w:rPr>
  </w:style>
  <w:style w:type="paragraph" w:customStyle="1" w:styleId="TableBodyTextRight">
    <w:name w:val="Table Body Text Right"/>
    <w:basedOn w:val="TableBodyText"/>
    <w:rsid w:val="00C75249"/>
    <w:pPr>
      <w:widowControl w:val="0"/>
      <w:autoSpaceDE w:val="0"/>
      <w:autoSpaceDN w:val="0"/>
      <w:adjustRightInd w:val="0"/>
      <w:jc w:val="right"/>
    </w:pPr>
    <w:rPr>
      <w:rFonts w:cs="Arial"/>
      <w:szCs w:val="18"/>
    </w:rPr>
  </w:style>
  <w:style w:type="paragraph" w:customStyle="1" w:styleId="CopyrightText">
    <w:name w:val="Copyright Text"/>
    <w:basedOn w:val="BodyText"/>
    <w:rsid w:val="00C75249"/>
    <w:rPr>
      <w:sz w:val="18"/>
    </w:rPr>
  </w:style>
  <w:style w:type="paragraph" w:customStyle="1" w:styleId="BodySmallRight">
    <w:name w:val="Body Small Right"/>
    <w:basedOn w:val="BodyTextRight"/>
    <w:rsid w:val="00C75249"/>
    <w:rPr>
      <w:sz w:val="18"/>
      <w:szCs w:val="18"/>
    </w:rPr>
  </w:style>
  <w:style w:type="paragraph" w:customStyle="1" w:styleId="MarginEdition">
    <w:name w:val="Margin Edition"/>
    <w:basedOn w:val="MarginNote"/>
    <w:rsid w:val="00C75249"/>
    <w:pPr>
      <w:spacing w:before="0" w:after="0"/>
    </w:pPr>
    <w:rPr>
      <w:rFonts w:ascii="Times New Roman" w:hAnsi="Times New Roman"/>
      <w:color w:val="999999"/>
    </w:rPr>
  </w:style>
  <w:style w:type="paragraph" w:customStyle="1" w:styleId="Spacer">
    <w:name w:val="Spacer"/>
    <w:basedOn w:val="Normal"/>
    <w:rsid w:val="00C75249"/>
    <w:rPr>
      <w:sz w:val="2"/>
      <w:szCs w:val="2"/>
    </w:rPr>
  </w:style>
  <w:style w:type="character" w:customStyle="1" w:styleId="Small">
    <w:name w:val="Small"/>
    <w:basedOn w:val="DefaultParagraphFont"/>
    <w:rsid w:val="00C75249"/>
    <w:rPr>
      <w:sz w:val="16"/>
    </w:rPr>
  </w:style>
  <w:style w:type="paragraph" w:customStyle="1" w:styleId="WideTable">
    <w:name w:val="Wide Table"/>
    <w:basedOn w:val="Normal"/>
    <w:rsid w:val="00C75249"/>
    <w:pPr>
      <w:ind w:left="-1418"/>
    </w:pPr>
    <w:rPr>
      <w:sz w:val="2"/>
      <w:szCs w:val="2"/>
    </w:rPr>
  </w:style>
  <w:style w:type="character" w:styleId="PageNumber">
    <w:name w:val="page number"/>
    <w:basedOn w:val="DefaultParagraphFont"/>
    <w:rsid w:val="00C75249"/>
  </w:style>
  <w:style w:type="paragraph" w:styleId="Quote">
    <w:name w:val="Quote"/>
    <w:basedOn w:val="Heading1"/>
    <w:link w:val="QuoteChar"/>
    <w:qFormat/>
    <w:rsid w:val="00C75249"/>
    <w:rPr>
      <w:b w:val="0"/>
      <w:sz w:val="72"/>
      <w:szCs w:val="72"/>
      <w:lang w:val="en-NZ"/>
    </w:rPr>
  </w:style>
  <w:style w:type="character" w:customStyle="1" w:styleId="QuoteChar">
    <w:name w:val="Quote Char"/>
    <w:basedOn w:val="DefaultParagraphFont"/>
    <w:link w:val="Quote"/>
    <w:rsid w:val="00C75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249"/>
    <w:pPr>
      <w:pageBreakBefore/>
    </w:pPr>
  </w:style>
  <w:style w:type="paragraph" w:customStyle="1" w:styleId="Border">
    <w:name w:val="Border"/>
    <w:basedOn w:val="Normal"/>
    <w:qFormat/>
    <w:rsid w:val="00C75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249"/>
    <w:rPr>
      <w:b/>
      <w:bCs/>
      <w:i/>
      <w:iCs/>
      <w:color w:val="auto"/>
    </w:rPr>
  </w:style>
  <w:style w:type="paragraph" w:styleId="IntenseQuote">
    <w:name w:val="Intense Quote"/>
    <w:basedOn w:val="Normal"/>
    <w:next w:val="Normal"/>
    <w:link w:val="IntenseQuoteChar"/>
    <w:uiPriority w:val="30"/>
    <w:qFormat/>
    <w:rsid w:val="00C75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2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249"/>
    <w:rPr>
      <w:smallCaps/>
      <w:color w:val="auto"/>
      <w:u w:val="single"/>
    </w:rPr>
  </w:style>
  <w:style w:type="character" w:styleId="IntenseReference">
    <w:name w:val="Intense Reference"/>
    <w:basedOn w:val="DefaultParagraphFont"/>
    <w:uiPriority w:val="32"/>
    <w:qFormat/>
    <w:rsid w:val="00C75249"/>
    <w:rPr>
      <w:b/>
      <w:bCs/>
      <w:smallCaps/>
      <w:color w:val="auto"/>
      <w:spacing w:val="5"/>
      <w:u w:val="single"/>
    </w:rPr>
  </w:style>
  <w:style w:type="paragraph" w:customStyle="1" w:styleId="2ColumnHeading">
    <w:name w:val="2Column Heading"/>
    <w:basedOn w:val="BodyText"/>
    <w:qFormat/>
    <w:rsid w:val="00C75249"/>
    <w:pPr>
      <w:spacing w:after="60"/>
      <w:ind w:left="-2268"/>
    </w:pPr>
    <w:rPr>
      <w:b/>
    </w:rPr>
  </w:style>
  <w:style w:type="paragraph" w:customStyle="1" w:styleId="Heading1TOC">
    <w:name w:val="Heading1 TOC"/>
    <w:basedOn w:val="Normal"/>
    <w:qFormat/>
    <w:rsid w:val="00C75249"/>
    <w:pPr>
      <w:spacing w:before="240" w:after="120"/>
    </w:pPr>
    <w:rPr>
      <w:rFonts w:ascii="Times New Roman" w:hAnsi="Times New Roman"/>
      <w:b/>
      <w:sz w:val="32"/>
    </w:rPr>
  </w:style>
  <w:style w:type="paragraph" w:customStyle="1" w:styleId="Heading2TOC">
    <w:name w:val="Heading2 TOC"/>
    <w:basedOn w:val="Normal"/>
    <w:qFormat/>
    <w:rsid w:val="00C75249"/>
    <w:pPr>
      <w:spacing w:before="240" w:after="60"/>
    </w:pPr>
    <w:rPr>
      <w:rFonts w:ascii="Times New Roman" w:hAnsi="Times New Roman"/>
      <w:b/>
      <w:sz w:val="28"/>
    </w:rPr>
  </w:style>
  <w:style w:type="character" w:customStyle="1" w:styleId="Underline">
    <w:name w:val="Underline"/>
    <w:basedOn w:val="DefaultParagraphFont"/>
    <w:qFormat/>
    <w:rsid w:val="00C75249"/>
    <w:rPr>
      <w:u w:val="single"/>
    </w:rPr>
  </w:style>
  <w:style w:type="character" w:customStyle="1" w:styleId="BoldandItalics">
    <w:name w:val="Bold and Italics"/>
    <w:qFormat/>
    <w:rsid w:val="00C75249"/>
    <w:rPr>
      <w:b/>
      <w:i/>
      <w:u w:val="none"/>
    </w:rPr>
  </w:style>
  <w:style w:type="paragraph" w:styleId="BalloonText">
    <w:name w:val="Balloon Text"/>
    <w:basedOn w:val="Normal"/>
    <w:link w:val="BalloonTextChar"/>
    <w:rsid w:val="00C75249"/>
    <w:rPr>
      <w:rFonts w:ascii="Tahoma" w:hAnsi="Tahoma" w:cs="Tahoma"/>
      <w:sz w:val="16"/>
      <w:szCs w:val="16"/>
    </w:rPr>
  </w:style>
  <w:style w:type="character" w:customStyle="1" w:styleId="BalloonTextChar">
    <w:name w:val="Balloon Text Char"/>
    <w:basedOn w:val="DefaultParagraphFont"/>
    <w:link w:val="BalloonText"/>
    <w:rsid w:val="00C752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2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52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249"/>
    <w:rPr>
      <w:b/>
      <w:color w:val="660033"/>
      <w:spacing w:val="0"/>
    </w:rPr>
  </w:style>
  <w:style w:type="paragraph" w:customStyle="1" w:styleId="Nameditemlist">
    <w:name w:val="Named item list"/>
    <w:basedOn w:val="BodyText"/>
    <w:qFormat/>
    <w:rsid w:val="00C75249"/>
    <w:pPr>
      <w:tabs>
        <w:tab w:val="left" w:pos="2835"/>
      </w:tabs>
      <w:ind w:left="2835" w:hanging="2835"/>
    </w:pPr>
  </w:style>
  <w:style w:type="paragraph" w:customStyle="1" w:styleId="BodyTextnopadding">
    <w:name w:val="Body Text no padding"/>
    <w:basedOn w:val="BodyText"/>
    <w:qFormat/>
    <w:rsid w:val="00C75249"/>
    <w:pPr>
      <w:spacing w:before="0" w:after="0"/>
    </w:pPr>
  </w:style>
  <w:style w:type="paragraph" w:customStyle="1" w:styleId="BodyTextBold">
    <w:name w:val="Body Text Bold"/>
    <w:basedOn w:val="BodyText"/>
    <w:qFormat/>
    <w:rsid w:val="00C75249"/>
    <w:rPr>
      <w:b/>
    </w:rPr>
  </w:style>
  <w:style w:type="character" w:styleId="Hyperlink">
    <w:name w:val="Hyperlink"/>
    <w:basedOn w:val="DefaultParagraphFont"/>
    <w:uiPriority w:val="99"/>
    <w:unhideWhenUsed/>
    <w:rsid w:val="008B61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4454</Characters>
  <Application>Microsoft Office Word</Application>
  <DocSecurity>0</DocSecurity>
  <Lines>234</Lines>
  <Paragraphs>122</Paragraphs>
  <ScaleCrop>false</ScaleCrop>
  <Company>Author-it Software Corporation Ltd.</Company>
  <LinksUpToDate>false</LinksUpToDate>
  <CharactersWithSpaces>5017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MSTLA3001 Perform advanced laundry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2019-09-11T06:08:00Z</dcterms:created>
  <dcterms:modified xsi:type="dcterms:W3CDTF">2019-09-11T06:08:00Z</dcterms:modified>
</cp:coreProperties>
</file>