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143" w:rsidP="00E80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MSTLA2014 Inspect, fold and pack theatre linen</w:t>
      </w:r>
      <w:r>
        <w:fldChar w:fldCharType="end"/>
      </w:r>
    </w:p>
    <w:p w:rsidR="00E80143" w:rsidP="00E80143">
      <w:pPr>
        <w:pStyle w:val="Version"/>
        <w:sectPr w:rsidSect="00AC7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A7A" w:rsidP="00AC7A7A">
      <w:pPr>
        <w:pStyle w:val="SuperHeading"/>
      </w:pPr>
      <w:r w:rsidRPr="00AC7A7A">
        <w:t>Assessment Requirements for MSTLA2014 Inspect, fold and pack theatre linen</w:t>
      </w:r>
    </w:p>
    <w:p w:rsidR="00000000" w:rsidRPr="00AC7A7A" w:rsidP="00AC7A7A">
      <w:pPr>
        <w:pStyle w:val="Heading1"/>
      </w:pPr>
      <w:bookmarkStart w:id="1" w:name="O_1064316"/>
      <w:bookmarkEnd w:id="1"/>
      <w:r w:rsidRPr="00AC7A7A">
        <w:t>Modification History</w:t>
      </w:r>
    </w:p>
    <w:p w:rsidR="00000000" w:rsidRPr="00AC7A7A" w:rsidP="00E80143">
      <w:pPr>
        <w:pStyle w:val="BodyText"/>
      </w:pPr>
      <w:r w:rsidRPr="00AC7A7A">
        <w:t>Release 1. Supersedes and is equivalent to MSTLA2009 Inspect, fold and pack theatre linen.</w:t>
      </w:r>
    </w:p>
    <w:p w:rsidR="00000000" w:rsidRPr="00AC7A7A" w:rsidP="00AC7A7A">
      <w:pPr>
        <w:pStyle w:val="Heading1"/>
      </w:pPr>
      <w:bookmarkStart w:id="2" w:name="O_1064317"/>
      <w:bookmarkEnd w:id="2"/>
      <w:r w:rsidRPr="00AC7A7A">
        <w:t>Performance Evidence</w:t>
      </w:r>
    </w:p>
    <w:p w:rsidR="00000000" w:rsidRPr="00AC7A7A" w:rsidP="00E80143">
      <w:pPr>
        <w:pStyle w:val="BodyText"/>
      </w:pPr>
      <w:r w:rsidRPr="00AC7A7A">
        <w:t>There must be evidence the candidate has completed the tasks outlined in the elements and performance criteria of this unit, and:</w:t>
      </w:r>
    </w:p>
    <w:p w:rsidR="00000000" w:rsidRPr="00AC7A7A" w:rsidP="00AC7A7A">
      <w:pPr>
        <w:pStyle w:val="ListBullet"/>
      </w:pPr>
      <w:r w:rsidRPr="00AC7A7A">
        <w:t>inspected, folded, packed and dispatched theatre linen for at least 2 different customers, including:</w:t>
      </w:r>
    </w:p>
    <w:p w:rsidR="00000000" w:rsidRPr="00AC7A7A" w:rsidP="00AC7A7A">
      <w:pPr>
        <w:pStyle w:val="ListBullet3"/>
      </w:pPr>
      <w:r w:rsidRPr="00AC7A7A">
        <w:t>applying relevant infe</w:t>
      </w:r>
      <w:r w:rsidRPr="00AC7A7A">
        <w:t>ction control procedures</w:t>
      </w:r>
    </w:p>
    <w:p w:rsidR="00000000" w:rsidRPr="00AC7A7A" w:rsidP="00AC7A7A">
      <w:pPr>
        <w:pStyle w:val="ListBullet3"/>
      </w:pPr>
      <w:r w:rsidRPr="00AC7A7A">
        <w:t>classifying reject linen for rework</w:t>
      </w:r>
    </w:p>
    <w:p w:rsidR="00000000" w:rsidRPr="00AC7A7A" w:rsidP="00AC7A7A">
      <w:pPr>
        <w:pStyle w:val="ListBullet3"/>
      </w:pPr>
      <w:r w:rsidRPr="00AC7A7A">
        <w:t>maintaining quality requirements for each stage of the process</w:t>
      </w:r>
    </w:p>
    <w:p w:rsidR="00000000" w:rsidRPr="00AC7A7A" w:rsidP="00AC7A7A">
      <w:pPr>
        <w:pStyle w:val="ListBullet3"/>
      </w:pPr>
      <w:r w:rsidRPr="00AC7A7A">
        <w:t>maintaining accurate records.</w:t>
      </w:r>
    </w:p>
    <w:p w:rsidR="00000000" w:rsidRPr="00AC7A7A" w:rsidP="00AC7A7A">
      <w:pPr>
        <w:pStyle w:val="AllowPageBreak"/>
      </w:pPr>
    </w:p>
    <w:p w:rsidR="00000000" w:rsidRPr="00AC7A7A" w:rsidP="00AC7A7A">
      <w:pPr>
        <w:pStyle w:val="Heading1"/>
      </w:pPr>
      <w:bookmarkStart w:id="3" w:name="O_1064318"/>
      <w:bookmarkEnd w:id="3"/>
      <w:r w:rsidRPr="00AC7A7A">
        <w:t>Knowledge Evidence</w:t>
      </w:r>
    </w:p>
    <w:p w:rsidR="00000000" w:rsidRPr="00AC7A7A" w:rsidP="00E80143">
      <w:pPr>
        <w:pStyle w:val="BodyText"/>
      </w:pPr>
      <w:r w:rsidRPr="00AC7A7A">
        <w:t>There must be evidence the candidate has knowledge of:</w:t>
      </w:r>
    </w:p>
    <w:p w:rsidR="00000000" w:rsidRPr="00AC7A7A" w:rsidP="00AC7A7A">
      <w:pPr>
        <w:pStyle w:val="ListBullet"/>
      </w:pPr>
      <w:r w:rsidRPr="00AC7A7A">
        <w:t>safe work practices and procedures and use of personal protective equipment (PPE)</w:t>
      </w:r>
    </w:p>
    <w:p w:rsidR="00000000" w:rsidRPr="00AC7A7A" w:rsidP="00AC7A7A">
      <w:pPr>
        <w:pStyle w:val="ListBullet"/>
      </w:pPr>
      <w:r w:rsidRPr="00AC7A7A">
        <w:t xml:space="preserve">key requirements of </w:t>
      </w:r>
      <w:r w:rsidRPr="00AC7A7A">
        <w:rPr>
          <w:rStyle w:val="Emphasis"/>
        </w:rPr>
        <w:t>Australian/New Zealand Standard AS/NZS 4146:2000 Laundry practice</w:t>
      </w:r>
      <w:r w:rsidRPr="00AC7A7A">
        <w:t>, in relation to hospital linen</w:t>
      </w:r>
    </w:p>
    <w:p w:rsidR="00000000" w:rsidRPr="00AC7A7A" w:rsidP="00AC7A7A">
      <w:pPr>
        <w:pStyle w:val="ListBullet"/>
      </w:pPr>
      <w:r w:rsidRPr="00AC7A7A">
        <w:t>laundry operation procedures for:</w:t>
      </w:r>
    </w:p>
    <w:p w:rsidR="00000000" w:rsidRPr="00AC7A7A" w:rsidP="00AC7A7A">
      <w:pPr>
        <w:pStyle w:val="ListBullet3"/>
      </w:pPr>
      <w:r w:rsidRPr="00AC7A7A">
        <w:t>coding systems</w:t>
      </w:r>
    </w:p>
    <w:p w:rsidR="00000000" w:rsidRPr="00AC7A7A" w:rsidP="00AC7A7A">
      <w:pPr>
        <w:pStyle w:val="ListBullet3"/>
      </w:pPr>
      <w:r w:rsidRPr="00AC7A7A">
        <w:t>hospita</w:t>
      </w:r>
      <w:r w:rsidRPr="00AC7A7A">
        <w:t>l theatre pre-packs</w:t>
      </w:r>
    </w:p>
    <w:p w:rsidR="00000000" w:rsidRPr="00AC7A7A" w:rsidP="00AC7A7A">
      <w:pPr>
        <w:pStyle w:val="ListBullet3"/>
      </w:pPr>
      <w:r w:rsidRPr="00AC7A7A">
        <w:t>manual handling techniques</w:t>
      </w:r>
    </w:p>
    <w:p w:rsidR="00000000" w:rsidRPr="00AC7A7A" w:rsidP="00AC7A7A">
      <w:pPr>
        <w:pStyle w:val="ListBullet3"/>
      </w:pPr>
      <w:r w:rsidRPr="00AC7A7A">
        <w:t>reject classifications</w:t>
      </w:r>
    </w:p>
    <w:p w:rsidR="00000000" w:rsidRPr="00AC7A7A" w:rsidP="00AC7A7A">
      <w:pPr>
        <w:pStyle w:val="ListBullet3"/>
      </w:pPr>
      <w:r w:rsidRPr="00AC7A7A">
        <w:t>reporting of non-conformance, faults and safety checks</w:t>
      </w:r>
    </w:p>
    <w:p w:rsidR="00000000" w:rsidRPr="00AC7A7A" w:rsidP="00AC7A7A">
      <w:pPr>
        <w:pStyle w:val="ListBullet3"/>
      </w:pPr>
      <w:r w:rsidRPr="00AC7A7A">
        <w:t>safe use of machines and related equipment</w:t>
      </w:r>
    </w:p>
    <w:p w:rsidR="00000000" w:rsidRPr="00AC7A7A" w:rsidP="00AC7A7A">
      <w:pPr>
        <w:pStyle w:val="ListBullet"/>
      </w:pPr>
      <w:r w:rsidRPr="00AC7A7A">
        <w:t xml:space="preserve">inspection techniques and procedures </w:t>
      </w:r>
    </w:p>
    <w:p w:rsidR="00000000" w:rsidRPr="00AC7A7A" w:rsidP="00AC7A7A">
      <w:pPr>
        <w:pStyle w:val="ListBullet"/>
      </w:pPr>
      <w:r w:rsidRPr="00AC7A7A">
        <w:t>typical non-conformances, including:</w:t>
      </w:r>
    </w:p>
    <w:p w:rsidR="00000000" w:rsidRPr="00AC7A7A" w:rsidP="00AC7A7A">
      <w:pPr>
        <w:pStyle w:val="ListBullet3"/>
      </w:pPr>
      <w:r w:rsidRPr="00AC7A7A">
        <w:t>blood</w:t>
      </w:r>
    </w:p>
    <w:p w:rsidR="00000000" w:rsidRPr="00AC7A7A" w:rsidP="00AC7A7A">
      <w:pPr>
        <w:pStyle w:val="ListBullet3"/>
      </w:pPr>
      <w:r w:rsidRPr="00AC7A7A">
        <w:t>damag</w:t>
      </w:r>
      <w:r w:rsidRPr="00AC7A7A">
        <w:t>e</w:t>
      </w:r>
    </w:p>
    <w:p w:rsidR="00000000" w:rsidRPr="00AC7A7A" w:rsidP="00AC7A7A">
      <w:pPr>
        <w:pStyle w:val="ListBullet3"/>
      </w:pPr>
      <w:r w:rsidRPr="00AC7A7A">
        <w:t>identifying markers</w:t>
      </w:r>
    </w:p>
    <w:p w:rsidR="00000000" w:rsidRPr="00AC7A7A" w:rsidP="00AC7A7A">
      <w:pPr>
        <w:pStyle w:val="ListBullet3"/>
      </w:pPr>
      <w:r w:rsidRPr="00AC7A7A">
        <w:t>inferior quality</w:t>
      </w:r>
    </w:p>
    <w:p w:rsidR="00000000" w:rsidRPr="00AC7A7A" w:rsidP="00AC7A7A">
      <w:pPr>
        <w:pStyle w:val="ListBullet3"/>
      </w:pPr>
      <w:r w:rsidRPr="00AC7A7A">
        <w:t>lint/fluff</w:t>
      </w:r>
    </w:p>
    <w:p w:rsidR="00000000" w:rsidRPr="00AC7A7A" w:rsidP="00AC7A7A">
      <w:pPr>
        <w:pStyle w:val="ListBullet3"/>
      </w:pPr>
      <w:r w:rsidRPr="00AC7A7A">
        <w:t xml:space="preserve">oil </w:t>
      </w:r>
    </w:p>
    <w:p w:rsidR="00000000" w:rsidRPr="00AC7A7A" w:rsidP="00AC7A7A">
      <w:pPr>
        <w:pStyle w:val="ListBullet3"/>
      </w:pPr>
      <w:r w:rsidRPr="00AC7A7A">
        <w:t>stains</w:t>
      </w:r>
    </w:p>
    <w:p w:rsidR="00000000" w:rsidRPr="00AC7A7A" w:rsidP="00AC7A7A">
      <w:pPr>
        <w:pStyle w:val="ListBullet3"/>
      </w:pPr>
      <w:r w:rsidRPr="00AC7A7A">
        <w:t>sticky</w:t>
      </w:r>
    </w:p>
    <w:p w:rsidR="00000000" w:rsidRPr="00AC7A7A" w:rsidP="00AC7A7A">
      <w:pPr>
        <w:pStyle w:val="ListBullet3"/>
      </w:pPr>
      <w:r w:rsidRPr="00AC7A7A">
        <w:t>wear</w:t>
      </w:r>
    </w:p>
    <w:p w:rsidR="00000000" w:rsidRPr="00AC7A7A" w:rsidP="00AC7A7A">
      <w:pPr>
        <w:pStyle w:val="ListBullet"/>
      </w:pPr>
      <w:r w:rsidRPr="00AC7A7A">
        <w:t>processes for classification of products for re-work</w:t>
      </w:r>
    </w:p>
    <w:p w:rsidR="00000000" w:rsidRPr="00AC7A7A" w:rsidP="00AC7A7A">
      <w:pPr>
        <w:pStyle w:val="ListBullet"/>
      </w:pPr>
      <w:r w:rsidRPr="00AC7A7A">
        <w:t>inspecting, folding and packing machines and equipment</w:t>
      </w:r>
    </w:p>
    <w:p w:rsidR="00000000" w:rsidRPr="00AC7A7A" w:rsidP="00AC7A7A">
      <w:pPr>
        <w:pStyle w:val="ListBullet"/>
      </w:pPr>
      <w:r w:rsidRPr="00AC7A7A">
        <w:t>typical packing equipment and consumables:</w:t>
      </w:r>
    </w:p>
    <w:p w:rsidR="00000000" w:rsidRPr="00AC7A7A" w:rsidP="00AC7A7A">
      <w:pPr>
        <w:pStyle w:val="ListBullet3"/>
      </w:pPr>
      <w:r w:rsidRPr="00AC7A7A">
        <w:t>heat sealers</w:t>
      </w:r>
    </w:p>
    <w:p w:rsidR="00000000" w:rsidRPr="00AC7A7A" w:rsidP="00AC7A7A">
      <w:pPr>
        <w:pStyle w:val="ListBullet3"/>
      </w:pPr>
      <w:r w:rsidRPr="00AC7A7A">
        <w:t>paper bags, laminate bags, non-linen wraps, linen wraps, indicator tape, markers, tags and plastic dust wrappers</w:t>
      </w:r>
    </w:p>
    <w:p w:rsidR="00000000" w:rsidRPr="00AC7A7A" w:rsidP="00AC7A7A">
      <w:pPr>
        <w:pStyle w:val="ListBullet"/>
      </w:pPr>
      <w:r w:rsidRPr="00AC7A7A">
        <w:t>procedures for folding and packing articles</w:t>
      </w:r>
    </w:p>
    <w:p w:rsidR="00000000" w:rsidRPr="00AC7A7A" w:rsidP="00AC7A7A">
      <w:pPr>
        <w:pStyle w:val="ListBullet"/>
      </w:pPr>
      <w:r w:rsidRPr="00AC7A7A">
        <w:t>transport equipment:</w:t>
      </w:r>
    </w:p>
    <w:p w:rsidR="00000000" w:rsidRPr="00AC7A7A" w:rsidP="00AC7A7A">
      <w:pPr>
        <w:pStyle w:val="ListBullet3"/>
      </w:pPr>
      <w:r w:rsidRPr="00AC7A7A">
        <w:t>trolleys</w:t>
      </w:r>
    </w:p>
    <w:p w:rsidR="00000000" w:rsidRPr="00AC7A7A" w:rsidP="00AC7A7A">
      <w:pPr>
        <w:pStyle w:val="ListBullet3"/>
      </w:pPr>
      <w:r w:rsidRPr="00AC7A7A">
        <w:t>bins</w:t>
      </w:r>
    </w:p>
    <w:p w:rsidR="00000000" w:rsidRPr="00AC7A7A" w:rsidP="00AC7A7A">
      <w:pPr>
        <w:pStyle w:val="ListBullet3"/>
      </w:pPr>
      <w:r w:rsidRPr="00AC7A7A">
        <w:t>baskets</w:t>
      </w:r>
    </w:p>
    <w:p w:rsidR="00000000" w:rsidRPr="00AC7A7A" w:rsidP="00AC7A7A">
      <w:pPr>
        <w:pStyle w:val="ListBullet3"/>
      </w:pPr>
      <w:r w:rsidRPr="00AC7A7A">
        <w:t>cages</w:t>
      </w:r>
    </w:p>
    <w:p w:rsidR="00000000" w:rsidRPr="00AC7A7A" w:rsidP="00AC7A7A">
      <w:pPr>
        <w:pStyle w:val="ListBullet"/>
      </w:pPr>
      <w:r w:rsidRPr="00AC7A7A">
        <w:t>quality and environmental standards and specifications</w:t>
      </w:r>
    </w:p>
    <w:p w:rsidR="00000000" w:rsidRPr="00AC7A7A" w:rsidP="00AC7A7A">
      <w:pPr>
        <w:pStyle w:val="ListBullet"/>
      </w:pPr>
      <w:r w:rsidRPr="00AC7A7A">
        <w:t>workplace recording and reporting practices.</w:t>
      </w:r>
    </w:p>
    <w:p w:rsidR="00000000" w:rsidRPr="00AC7A7A" w:rsidP="00AC7A7A">
      <w:pPr>
        <w:pStyle w:val="AllowPageBreak"/>
      </w:pPr>
    </w:p>
    <w:p w:rsidR="00000000" w:rsidRPr="00AC7A7A" w:rsidP="00AC7A7A">
      <w:pPr>
        <w:pStyle w:val="Heading1"/>
      </w:pPr>
      <w:bookmarkStart w:id="4" w:name="O_1064319"/>
      <w:bookmarkEnd w:id="4"/>
      <w:r w:rsidRPr="00AC7A7A">
        <w:t>Assessment Conditions</w:t>
      </w:r>
    </w:p>
    <w:p w:rsidR="00000000" w:rsidRPr="00AC7A7A" w:rsidP="00E80143">
      <w:pPr>
        <w:pStyle w:val="BodyText"/>
      </w:pPr>
      <w:r w:rsidRPr="00AC7A7A">
        <w:t>Skills must have been demonstrated in the workplace or in a simulated environment that reflects workplace condition</w:t>
      </w:r>
      <w:r w:rsidRPr="00AC7A7A">
        <w:t xml:space="preserve">s and contingencies. The following conditions must be met for this unit: </w:t>
      </w:r>
    </w:p>
    <w:p w:rsidR="00000000" w:rsidRPr="00AC7A7A" w:rsidP="00AC7A7A">
      <w:pPr>
        <w:pStyle w:val="ListBullet2"/>
      </w:pPr>
      <w:r w:rsidRPr="00AC7A7A">
        <w:t>use of suitable facilities, equipment and resources, including:</w:t>
      </w:r>
    </w:p>
    <w:p w:rsidR="00000000" w:rsidRPr="00AC7A7A" w:rsidP="00AC7A7A">
      <w:pPr>
        <w:pStyle w:val="ListBullet3"/>
      </w:pPr>
      <w:r w:rsidRPr="00AC7A7A">
        <w:t xml:space="preserve">an industrial laundry environment set up for packing theatre linen, with appropriate machines and </w:t>
      </w:r>
      <w:r w:rsidRPr="00AC7A7A">
        <w:t>equipment and related standard operating procedures (SOPs)</w:t>
      </w:r>
    </w:p>
    <w:p w:rsidR="00000000" w:rsidRPr="00AC7A7A" w:rsidP="00AC7A7A">
      <w:pPr>
        <w:pStyle w:val="ListBullet3"/>
      </w:pPr>
      <w:r w:rsidRPr="00AC7A7A">
        <w:t>theatre linen for folding and packing.</w:t>
      </w:r>
    </w:p>
    <w:p w:rsidR="00000000" w:rsidRPr="00AC7A7A" w:rsidP="00E80143">
      <w:pPr>
        <w:pStyle w:val="BodyText"/>
      </w:pPr>
      <w:r w:rsidRPr="00AC7A7A">
        <w:t>Assessors must satisfy the NVR/AQTF mandatory competency requirements for assessors.</w:t>
      </w:r>
    </w:p>
    <w:p w:rsidR="00000000" w:rsidRPr="00AC7A7A" w:rsidP="00AC7A7A">
      <w:pPr>
        <w:pStyle w:val="Heading1"/>
      </w:pPr>
      <w:bookmarkStart w:id="5" w:name="O_1064322"/>
      <w:bookmarkEnd w:id="5"/>
      <w:r w:rsidRPr="00AC7A7A">
        <w:t>Links</w:t>
      </w:r>
    </w:p>
    <w:p w:rsidR="00000000" w:rsidRPr="00AC7A7A" w:rsidP="00E80143">
      <w:pPr>
        <w:pStyle w:val="BodyText"/>
      </w:pPr>
      <w:r w:rsidRPr="00AC7A7A">
        <w:t>Companion Volume implementation guides are found</w:t>
      </w:r>
      <w:r w:rsidRPr="00AC7A7A">
        <w:t xml:space="preserve">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46C4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C7A7A" w:rsidP="00AC7A7A"/>
    <w:sectPr w:rsidSect="00AC7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7A" w:rsidRPr="00E80143" w:rsidP="00E80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43" w:rsidP="00AC7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143" w:rsidP="00AC7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0143" w:rsidP="00AC7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A7A" w:rsidRPr="00E80143" w:rsidP="00E80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43" w:rsidRPr="002D2AF8" w:rsidP="00AC7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MSTLA2014 Inspect, fold and pack theatre linen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80143" w:rsidP="00AC7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81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C68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26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A7A"/>
  </w:style>
  <w:style w:type="character" w:customStyle="1" w:styleId="Heading1Char">
    <w:name w:val="Heading 1 Char"/>
    <w:basedOn w:val="DefaultParagraphFont"/>
    <w:link w:val="Heading1"/>
    <w:rsid w:val="00AC7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A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A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7A7A"/>
    <w:rPr>
      <w:i/>
    </w:rPr>
  </w:style>
  <w:style w:type="paragraph" w:customStyle="1" w:styleId="SuperHeading">
    <w:name w:val="SuperHeading"/>
    <w:basedOn w:val="Normal"/>
    <w:rsid w:val="00AC7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7A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7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A7A"/>
    <w:rPr>
      <w:b/>
      <w:spacing w:val="0"/>
    </w:rPr>
  </w:style>
  <w:style w:type="paragraph" w:customStyle="1" w:styleId="SuperTitle">
    <w:name w:val="SuperTitle"/>
    <w:basedOn w:val="Title"/>
    <w:rsid w:val="00AC7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A7A"/>
  </w:style>
  <w:style w:type="paragraph" w:styleId="TableofFigures">
    <w:name w:val="table of figures"/>
    <w:basedOn w:val="Normal"/>
    <w:next w:val="Normal"/>
    <w:semiHidden/>
    <w:rsid w:val="00AC7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A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7A7A"/>
    <w:rPr>
      <w:rFonts w:ascii="Wingdings" w:hAnsi="Wingdings"/>
    </w:rPr>
  </w:style>
  <w:style w:type="paragraph" w:customStyle="1" w:styleId="TableHeading">
    <w:name w:val="Table Heading"/>
    <w:basedOn w:val="HeadingBase"/>
    <w:rsid w:val="00AC7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A7A"/>
    <w:rPr>
      <w:color w:val="0033CC"/>
      <w:u w:val="none"/>
    </w:rPr>
  </w:style>
  <w:style w:type="paragraph" w:customStyle="1" w:styleId="BodyTextRight">
    <w:name w:val="Body Text Right"/>
    <w:basedOn w:val="BodyText"/>
    <w:rsid w:val="00AC7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A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A7A"/>
    <w:rPr>
      <w:sz w:val="32"/>
    </w:rPr>
  </w:style>
  <w:style w:type="paragraph" w:customStyle="1" w:styleId="HeadingProcedure">
    <w:name w:val="Heading Procedure"/>
    <w:basedOn w:val="HeadingBase"/>
    <w:next w:val="Normal"/>
    <w:rsid w:val="00AC7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A7A"/>
    <w:pPr>
      <w:spacing w:before="60" w:after="60"/>
    </w:pPr>
  </w:style>
  <w:style w:type="paragraph" w:styleId="ListContinue">
    <w:name w:val="List Continue"/>
    <w:basedOn w:val="List"/>
    <w:rsid w:val="00AC7A7A"/>
    <w:pPr>
      <w:ind w:firstLine="0"/>
    </w:pPr>
  </w:style>
  <w:style w:type="paragraph" w:customStyle="1" w:styleId="ListNote">
    <w:name w:val="List Note"/>
    <w:basedOn w:val="List"/>
    <w:rsid w:val="00AC7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A7A"/>
    <w:rPr>
      <w:rFonts w:ascii="Courier New" w:hAnsi="Courier New"/>
    </w:rPr>
  </w:style>
  <w:style w:type="paragraph" w:customStyle="1" w:styleId="NoteBullet">
    <w:name w:val="Note Bullet"/>
    <w:basedOn w:val="Note"/>
    <w:rsid w:val="00AC7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A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7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A7A"/>
    <w:rPr>
      <w:b/>
      <w:smallCaps/>
    </w:rPr>
  </w:style>
  <w:style w:type="paragraph" w:customStyle="1" w:styleId="TableListNumber">
    <w:name w:val="Table List Number"/>
    <w:basedOn w:val="ListNumber"/>
    <w:rsid w:val="00AC7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A7A"/>
    <w:pPr>
      <w:numPr>
        <w:numId w:val="10"/>
      </w:numPr>
    </w:pPr>
  </w:style>
  <w:style w:type="paragraph" w:customStyle="1" w:styleId="ListAlpha2">
    <w:name w:val="List Alpha 2"/>
    <w:basedOn w:val="List2"/>
    <w:rsid w:val="00AC7A7A"/>
    <w:pPr>
      <w:numPr>
        <w:numId w:val="9"/>
      </w:numPr>
    </w:pPr>
  </w:style>
  <w:style w:type="paragraph" w:styleId="List2">
    <w:name w:val="List 2"/>
    <w:basedOn w:val="BodyText"/>
    <w:rsid w:val="00AC7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A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7A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7A7A"/>
    <w:pPr>
      <w:numPr>
        <w:numId w:val="5"/>
      </w:numPr>
    </w:pPr>
  </w:style>
  <w:style w:type="paragraph" w:styleId="ListContinue2">
    <w:name w:val="List Continue 2"/>
    <w:basedOn w:val="List2"/>
    <w:rsid w:val="00AC7A7A"/>
    <w:pPr>
      <w:ind w:firstLine="0"/>
    </w:pPr>
  </w:style>
  <w:style w:type="paragraph" w:styleId="ListContinue3">
    <w:name w:val="List Continue 3"/>
    <w:basedOn w:val="List3"/>
    <w:rsid w:val="00AC7A7A"/>
    <w:pPr>
      <w:ind w:left="1021" w:firstLine="0"/>
    </w:pPr>
  </w:style>
  <w:style w:type="paragraph" w:styleId="ListContinue4">
    <w:name w:val="List Continue 4"/>
    <w:basedOn w:val="List4"/>
    <w:rsid w:val="00AC7A7A"/>
    <w:pPr>
      <w:ind w:firstLine="0"/>
    </w:pPr>
  </w:style>
  <w:style w:type="paragraph" w:styleId="ListContinue5">
    <w:name w:val="List Continue 5"/>
    <w:basedOn w:val="List5"/>
    <w:rsid w:val="00AC7A7A"/>
    <w:pPr>
      <w:ind w:firstLine="0"/>
    </w:pPr>
  </w:style>
  <w:style w:type="paragraph" w:styleId="ListNumber3">
    <w:name w:val="List Number 3"/>
    <w:basedOn w:val="List3"/>
    <w:rsid w:val="00AC7A7A"/>
    <w:pPr>
      <w:numPr>
        <w:numId w:val="6"/>
      </w:numPr>
    </w:pPr>
  </w:style>
  <w:style w:type="paragraph" w:styleId="ListNumber4">
    <w:name w:val="List Number 4"/>
    <w:basedOn w:val="List4"/>
    <w:rsid w:val="00AC7A7A"/>
    <w:pPr>
      <w:numPr>
        <w:numId w:val="7"/>
      </w:numPr>
    </w:pPr>
  </w:style>
  <w:style w:type="paragraph" w:styleId="ListNumber5">
    <w:name w:val="List Number 5"/>
    <w:basedOn w:val="List5"/>
    <w:rsid w:val="00AC7A7A"/>
    <w:pPr>
      <w:numPr>
        <w:numId w:val="8"/>
      </w:numPr>
    </w:pPr>
  </w:style>
  <w:style w:type="paragraph" w:styleId="BlockText">
    <w:name w:val="Block Text"/>
    <w:basedOn w:val="Normal"/>
    <w:rsid w:val="00AC7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A7A"/>
    <w:rPr>
      <w:sz w:val="16"/>
      <w:vertAlign w:val="superscript"/>
    </w:rPr>
  </w:style>
  <w:style w:type="character" w:customStyle="1" w:styleId="Symbols">
    <w:name w:val="Symbols"/>
    <w:basedOn w:val="DefaultParagraphFont"/>
    <w:rsid w:val="00AC7A7A"/>
    <w:rPr>
      <w:rFonts w:ascii="Symbol" w:hAnsi="Symbol"/>
    </w:rPr>
  </w:style>
  <w:style w:type="character" w:customStyle="1" w:styleId="MenuOptions">
    <w:name w:val="Menu Options"/>
    <w:basedOn w:val="DefaultParagraphFont"/>
    <w:rsid w:val="00AC7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A7A"/>
    <w:rPr>
      <w:b/>
    </w:rPr>
  </w:style>
  <w:style w:type="character" w:customStyle="1" w:styleId="Underlined">
    <w:name w:val="Underlined"/>
    <w:basedOn w:val="DefaultParagraphFont"/>
    <w:rsid w:val="00AC7A7A"/>
    <w:rPr>
      <w:u w:val="single"/>
    </w:rPr>
  </w:style>
  <w:style w:type="paragraph" w:customStyle="1" w:styleId="TableBodyTextRight">
    <w:name w:val="Table Body Text Right"/>
    <w:basedOn w:val="TableBodyText"/>
    <w:rsid w:val="00AC7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A7A"/>
    <w:rPr>
      <w:sz w:val="18"/>
    </w:rPr>
  </w:style>
  <w:style w:type="paragraph" w:customStyle="1" w:styleId="BodySmallRight">
    <w:name w:val="Body Small Right"/>
    <w:basedOn w:val="BodyTextRight"/>
    <w:rsid w:val="00AC7A7A"/>
    <w:rPr>
      <w:sz w:val="18"/>
      <w:szCs w:val="18"/>
    </w:rPr>
  </w:style>
  <w:style w:type="paragraph" w:customStyle="1" w:styleId="MarginEdition">
    <w:name w:val="Margin Edition"/>
    <w:basedOn w:val="MarginNote"/>
    <w:rsid w:val="00AC7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A7A"/>
    <w:rPr>
      <w:sz w:val="2"/>
      <w:szCs w:val="2"/>
    </w:rPr>
  </w:style>
  <w:style w:type="character" w:customStyle="1" w:styleId="Small">
    <w:name w:val="Small"/>
    <w:basedOn w:val="DefaultParagraphFont"/>
    <w:rsid w:val="00AC7A7A"/>
    <w:rPr>
      <w:sz w:val="16"/>
    </w:rPr>
  </w:style>
  <w:style w:type="paragraph" w:customStyle="1" w:styleId="WideTable">
    <w:name w:val="Wide Table"/>
    <w:basedOn w:val="Normal"/>
    <w:rsid w:val="00AC7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A7A"/>
  </w:style>
  <w:style w:type="paragraph" w:styleId="Quote">
    <w:name w:val="Quote"/>
    <w:basedOn w:val="Heading1"/>
    <w:link w:val="QuoteChar"/>
    <w:qFormat/>
    <w:rsid w:val="00AC7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A7A"/>
    <w:pPr>
      <w:pageBreakBefore/>
    </w:pPr>
  </w:style>
  <w:style w:type="paragraph" w:customStyle="1" w:styleId="Border">
    <w:name w:val="Border"/>
    <w:basedOn w:val="Normal"/>
    <w:qFormat/>
    <w:rsid w:val="00AC7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A7A"/>
    <w:rPr>
      <w:u w:val="single"/>
    </w:rPr>
  </w:style>
  <w:style w:type="character" w:customStyle="1" w:styleId="BoldandItalics">
    <w:name w:val="Bold and Italics"/>
    <w:qFormat/>
    <w:rsid w:val="00AC7A7A"/>
    <w:rPr>
      <w:b/>
      <w:i/>
      <w:u w:val="none"/>
    </w:rPr>
  </w:style>
  <w:style w:type="paragraph" w:styleId="BalloonText">
    <w:name w:val="Balloon Text"/>
    <w:basedOn w:val="Normal"/>
    <w:link w:val="BalloonTextChar"/>
    <w:rsid w:val="00AC7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A7A"/>
    <w:pPr>
      <w:spacing w:before="0" w:after="0"/>
    </w:pPr>
  </w:style>
  <w:style w:type="paragraph" w:customStyle="1" w:styleId="BodyTextBold">
    <w:name w:val="Body Text Bold"/>
    <w:basedOn w:val="BodyText"/>
    <w:qFormat/>
    <w:rsid w:val="00AC7A7A"/>
    <w:rPr>
      <w:b/>
    </w:rPr>
  </w:style>
  <w:style w:type="character" w:styleId="Hyperlink">
    <w:name w:val="Hyperlink"/>
    <w:basedOn w:val="DefaultParagraphFont"/>
    <w:uiPriority w:val="99"/>
    <w:unhideWhenUsed/>
    <w:rsid w:val="00E80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2366</Characters>
  <Application>Microsoft Office Word</Application>
  <DocSecurity>0</DocSecurity>
  <Lines>73</Lines>
  <Paragraphs>66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MSTLA2014 Inspect, fold and pack theatre linen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